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6A" w:rsidRPr="00E836C4" w:rsidRDefault="00E7256A" w:rsidP="00E836C4">
      <w:pPr>
        <w:spacing w:line="480" w:lineRule="auto"/>
        <w:rPr>
          <w:rFonts w:ascii="Times New Roman" w:hAnsi="Times New Roman" w:cs="Times New Roman"/>
          <w:sz w:val="24"/>
          <w:szCs w:val="24"/>
        </w:rPr>
      </w:pPr>
    </w:p>
    <w:p w:rsidR="00E7256A" w:rsidRPr="00E836C4" w:rsidRDefault="00E7256A" w:rsidP="00E836C4">
      <w:pPr>
        <w:spacing w:line="480" w:lineRule="auto"/>
        <w:rPr>
          <w:rFonts w:ascii="Times New Roman" w:hAnsi="Times New Roman" w:cs="Times New Roman"/>
          <w:sz w:val="24"/>
          <w:szCs w:val="24"/>
        </w:rPr>
      </w:pPr>
    </w:p>
    <w:p w:rsidR="00E7256A" w:rsidRPr="00E836C4" w:rsidRDefault="00E7256A" w:rsidP="00E836C4">
      <w:pPr>
        <w:spacing w:line="480" w:lineRule="auto"/>
        <w:rPr>
          <w:rFonts w:ascii="Times New Roman" w:hAnsi="Times New Roman" w:cs="Times New Roman"/>
          <w:sz w:val="24"/>
          <w:szCs w:val="24"/>
        </w:rPr>
      </w:pPr>
    </w:p>
    <w:p w:rsidR="00E7256A" w:rsidRPr="00E836C4" w:rsidRDefault="00E7256A" w:rsidP="00E836C4">
      <w:pPr>
        <w:spacing w:line="480" w:lineRule="auto"/>
        <w:rPr>
          <w:rFonts w:ascii="Times New Roman" w:hAnsi="Times New Roman" w:cs="Times New Roman"/>
          <w:sz w:val="24"/>
          <w:szCs w:val="24"/>
        </w:rPr>
      </w:pPr>
    </w:p>
    <w:p w:rsidR="00E7256A" w:rsidRPr="00E836C4" w:rsidRDefault="00E7256A" w:rsidP="00E836C4">
      <w:pPr>
        <w:spacing w:line="480" w:lineRule="auto"/>
        <w:rPr>
          <w:rFonts w:ascii="Times New Roman" w:hAnsi="Times New Roman" w:cs="Times New Roman"/>
          <w:sz w:val="24"/>
          <w:szCs w:val="24"/>
        </w:rPr>
      </w:pPr>
    </w:p>
    <w:p w:rsidR="00E836C4" w:rsidRDefault="00E836C4" w:rsidP="00E836C4">
      <w:pPr>
        <w:spacing w:line="480" w:lineRule="auto"/>
        <w:jc w:val="center"/>
        <w:rPr>
          <w:rFonts w:ascii="Times New Roman" w:hAnsi="Times New Roman" w:cs="Times New Roman"/>
          <w:b/>
          <w:sz w:val="24"/>
          <w:szCs w:val="24"/>
        </w:rPr>
      </w:pPr>
    </w:p>
    <w:p w:rsidR="00E836C4" w:rsidRDefault="00E836C4" w:rsidP="00E836C4">
      <w:pPr>
        <w:spacing w:line="480" w:lineRule="auto"/>
        <w:jc w:val="center"/>
        <w:rPr>
          <w:rFonts w:ascii="Times New Roman" w:hAnsi="Times New Roman" w:cs="Times New Roman"/>
          <w:b/>
          <w:sz w:val="24"/>
          <w:szCs w:val="24"/>
        </w:rPr>
      </w:pPr>
    </w:p>
    <w:p w:rsidR="00E7256A" w:rsidRPr="00E836C4" w:rsidRDefault="00E7256A"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Signature Assignment Portfolio</w:t>
      </w:r>
    </w:p>
    <w:p w:rsidR="00E7256A" w:rsidRPr="00E836C4" w:rsidRDefault="00E836C4" w:rsidP="00E836C4">
      <w:pPr>
        <w:spacing w:line="480" w:lineRule="auto"/>
        <w:jc w:val="center"/>
        <w:rPr>
          <w:rFonts w:ascii="Times New Roman" w:hAnsi="Times New Roman" w:cs="Times New Roman"/>
          <w:sz w:val="24"/>
          <w:szCs w:val="24"/>
        </w:rPr>
      </w:pPr>
      <w:r w:rsidRPr="00E836C4">
        <w:rPr>
          <w:rFonts w:ascii="Times New Roman" w:hAnsi="Times New Roman" w:cs="Times New Roman"/>
          <w:sz w:val="24"/>
          <w:szCs w:val="24"/>
        </w:rPr>
        <w:t>Name</w:t>
      </w:r>
    </w:p>
    <w:p w:rsidR="00E836C4" w:rsidRPr="00E836C4" w:rsidRDefault="00E836C4" w:rsidP="00E836C4">
      <w:pPr>
        <w:spacing w:line="480" w:lineRule="auto"/>
        <w:jc w:val="center"/>
        <w:rPr>
          <w:rFonts w:ascii="Times New Roman" w:hAnsi="Times New Roman" w:cs="Times New Roman"/>
          <w:sz w:val="24"/>
          <w:szCs w:val="24"/>
        </w:rPr>
      </w:pPr>
      <w:r w:rsidRPr="00E836C4">
        <w:rPr>
          <w:rFonts w:ascii="Times New Roman" w:hAnsi="Times New Roman" w:cs="Times New Roman"/>
          <w:sz w:val="24"/>
          <w:szCs w:val="24"/>
        </w:rPr>
        <w:t>Institution</w:t>
      </w:r>
    </w:p>
    <w:p w:rsidR="00E836C4" w:rsidRPr="00E836C4" w:rsidRDefault="00E836C4" w:rsidP="00E836C4">
      <w:pPr>
        <w:spacing w:line="480" w:lineRule="auto"/>
        <w:jc w:val="center"/>
        <w:rPr>
          <w:rFonts w:ascii="Times New Roman" w:hAnsi="Times New Roman" w:cs="Times New Roman"/>
          <w:sz w:val="24"/>
          <w:szCs w:val="24"/>
        </w:rPr>
      </w:pPr>
      <w:r w:rsidRPr="00E836C4">
        <w:rPr>
          <w:rFonts w:ascii="Times New Roman" w:hAnsi="Times New Roman" w:cs="Times New Roman"/>
          <w:sz w:val="24"/>
          <w:szCs w:val="24"/>
        </w:rPr>
        <w:t>Date</w:t>
      </w:r>
    </w:p>
    <w:p w:rsidR="00E7256A" w:rsidRPr="00E836C4" w:rsidRDefault="00E7256A" w:rsidP="00E836C4">
      <w:pPr>
        <w:spacing w:line="480" w:lineRule="auto"/>
        <w:jc w:val="center"/>
        <w:rPr>
          <w:rFonts w:ascii="Times New Roman" w:hAnsi="Times New Roman" w:cs="Times New Roman"/>
          <w:sz w:val="24"/>
          <w:szCs w:val="24"/>
        </w:rPr>
      </w:pPr>
    </w:p>
    <w:p w:rsidR="00E7256A" w:rsidRPr="00E836C4" w:rsidRDefault="00E7256A" w:rsidP="00E836C4">
      <w:pPr>
        <w:spacing w:line="480" w:lineRule="auto"/>
        <w:rPr>
          <w:rFonts w:ascii="Times New Roman" w:hAnsi="Times New Roman" w:cs="Times New Roman"/>
          <w:sz w:val="24"/>
          <w:szCs w:val="24"/>
        </w:rPr>
      </w:pPr>
    </w:p>
    <w:p w:rsidR="00E836C4" w:rsidRDefault="00E836C4" w:rsidP="00E836C4">
      <w:pPr>
        <w:spacing w:line="480" w:lineRule="auto"/>
        <w:rPr>
          <w:rFonts w:ascii="Times New Roman" w:hAnsi="Times New Roman" w:cs="Times New Roman"/>
          <w:sz w:val="24"/>
          <w:szCs w:val="24"/>
        </w:rPr>
      </w:pPr>
    </w:p>
    <w:p w:rsidR="00E836C4" w:rsidRDefault="00E836C4" w:rsidP="00E836C4">
      <w:pPr>
        <w:spacing w:line="480" w:lineRule="auto"/>
        <w:rPr>
          <w:rFonts w:ascii="Times New Roman" w:hAnsi="Times New Roman" w:cs="Times New Roman"/>
          <w:sz w:val="24"/>
          <w:szCs w:val="24"/>
        </w:rPr>
      </w:pPr>
    </w:p>
    <w:p w:rsidR="00E836C4" w:rsidRDefault="00E836C4" w:rsidP="00E836C4">
      <w:pPr>
        <w:spacing w:line="480" w:lineRule="auto"/>
        <w:rPr>
          <w:rFonts w:ascii="Times New Roman" w:hAnsi="Times New Roman" w:cs="Times New Roman"/>
          <w:sz w:val="24"/>
          <w:szCs w:val="24"/>
        </w:rPr>
      </w:pPr>
    </w:p>
    <w:p w:rsidR="00E836C4" w:rsidRDefault="00E836C4" w:rsidP="00E836C4">
      <w:pPr>
        <w:spacing w:line="480" w:lineRule="auto"/>
        <w:rPr>
          <w:rFonts w:ascii="Times New Roman" w:hAnsi="Times New Roman" w:cs="Times New Roman"/>
          <w:sz w:val="24"/>
          <w:szCs w:val="24"/>
        </w:rPr>
      </w:pP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lastRenderedPageBreak/>
        <w:t>Signature Assignment Portfolio</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Executive Summary</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The signature assignment portfolio is about the use of body-worn cameras among the police. The components of the assignment are background and description, solution and justification, key political, economic, and social considerations, cost assessment, strategic plan for implementation, and congruence with ASPA's Code of Ethics. </w:t>
      </w:r>
      <w:r w:rsidRPr="00E836C4">
        <w:rPr>
          <w:rFonts w:ascii="Times New Roman" w:hAnsi="Times New Roman" w:cs="Times New Roman"/>
          <w:b/>
          <w:sz w:val="24"/>
          <w:szCs w:val="24"/>
        </w:rPr>
        <w:t>Background and Description</w:t>
      </w:r>
      <w:r w:rsidRPr="00E836C4">
        <w:rPr>
          <w:rFonts w:ascii="Times New Roman" w:hAnsi="Times New Roman" w:cs="Times New Roman"/>
          <w:sz w:val="24"/>
          <w:szCs w:val="24"/>
        </w:rPr>
        <w:t xml:space="preserve">: The police-worn body camera is a modern technology aspect that entails mounting the cameras on the chest area or eyeglasses of an officer on patrol, thereby offering accurate time information. With the use of body cameras, the police find it easier to collect essential information while investigating matters patterning criminal offenses, and these cameras have a surveillance tool, thus promoting efficiency, quick resolution, corroborating evidence, and safety. The use of body cameras among the police began in 2005 as a way of improving transparency in police departments. In the United States, the use of body-worn cameras among the police intensified in 2014. </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b/>
          <w:sz w:val="24"/>
          <w:szCs w:val="24"/>
        </w:rPr>
        <w:t>Solution and Justification</w:t>
      </w:r>
      <w:r w:rsidRPr="00E836C4">
        <w:rPr>
          <w:rFonts w:ascii="Times New Roman" w:hAnsi="Times New Roman" w:cs="Times New Roman"/>
          <w:sz w:val="24"/>
          <w:szCs w:val="24"/>
        </w:rPr>
        <w:t xml:space="preserve">: There are certain solutions that can be implemented to curb issues surrounding the use of body cameras among the police. First, the relevant authorities need to recognize that the privacy of citizens is a fundamental issue. Therefore, while implementing this program, the states should formulate policies that ensure that body-worn cameras preserve the citizens' right to privacy. Also, the policymakers should educate the law enforcement officers on precautionary and safety measures that they should uphold to preserve their mental health and their physical health. In addition, the police should be provided with adequate training on how to use body-worn cameras effectively. </w:t>
      </w:r>
      <w:r w:rsidRPr="00E836C4">
        <w:rPr>
          <w:rFonts w:ascii="Times New Roman" w:hAnsi="Times New Roman" w:cs="Times New Roman"/>
          <w:b/>
          <w:sz w:val="24"/>
          <w:szCs w:val="24"/>
        </w:rPr>
        <w:t>Political, Economic, and Social Considerations</w:t>
      </w:r>
      <w:r w:rsidRPr="00E836C4">
        <w:rPr>
          <w:rFonts w:ascii="Times New Roman" w:hAnsi="Times New Roman" w:cs="Times New Roman"/>
          <w:sz w:val="24"/>
          <w:szCs w:val="24"/>
        </w:rPr>
        <w:t xml:space="preserve">: Some of </w:t>
      </w:r>
      <w:r w:rsidRPr="00E836C4">
        <w:rPr>
          <w:rFonts w:ascii="Times New Roman" w:hAnsi="Times New Roman" w:cs="Times New Roman"/>
          <w:sz w:val="24"/>
          <w:szCs w:val="24"/>
        </w:rPr>
        <w:lastRenderedPageBreak/>
        <w:t>the key political considerations surrounding the use of body cameras among the police include privacy concerns and civil liberties, and legal boundaries. The economic considerations include the exorbitant budget of securing the cameras and economic unreliability. Notably, the implementation and subsequent maintenance of the body camera technology is perceived to be costly for the government and economically unreliable. Some of the social considerations are the safety of the police officers and the health of the police. Conversely, research has shown that police officers with body-worn cameras are exposed to more risks, including attacks and assaults from the public.</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b/>
          <w:sz w:val="24"/>
          <w:szCs w:val="24"/>
        </w:rPr>
        <w:t>Cost Assessment</w:t>
      </w:r>
      <w:r w:rsidRPr="00E836C4">
        <w:rPr>
          <w:rFonts w:ascii="Times New Roman" w:hAnsi="Times New Roman" w:cs="Times New Roman"/>
          <w:sz w:val="24"/>
          <w:szCs w:val="24"/>
        </w:rPr>
        <w:t xml:space="preserve">: </w:t>
      </w:r>
      <w:r w:rsidR="00E7256A" w:rsidRPr="00E836C4">
        <w:rPr>
          <w:rFonts w:ascii="Times New Roman" w:hAnsi="Times New Roman" w:cs="Times New Roman"/>
          <w:sz w:val="24"/>
          <w:szCs w:val="24"/>
        </w:rPr>
        <w:t xml:space="preserve">The presented cost assessment is for Oliver Police Department in Georgia. </w:t>
      </w:r>
      <w:r w:rsidR="00E7256A" w:rsidRPr="00E836C4">
        <w:rPr>
          <w:rFonts w:ascii="Times New Roman" w:hAnsi="Times New Roman" w:cs="Times New Roman"/>
          <w:sz w:val="24"/>
          <w:szCs w:val="24"/>
        </w:rPr>
        <w:t>The estimated cost is both short-term and long-term.</w:t>
      </w:r>
      <w:r w:rsidR="00E7256A" w:rsidRPr="00E836C4">
        <w:rPr>
          <w:rFonts w:ascii="Times New Roman" w:hAnsi="Times New Roman" w:cs="Times New Roman"/>
          <w:b/>
          <w:sz w:val="24"/>
          <w:szCs w:val="24"/>
        </w:rPr>
        <w:t xml:space="preserve"> </w:t>
      </w:r>
      <w:r w:rsidR="00E7256A" w:rsidRPr="00E836C4">
        <w:rPr>
          <w:rFonts w:ascii="Times New Roman" w:hAnsi="Times New Roman" w:cs="Times New Roman"/>
          <w:sz w:val="24"/>
          <w:szCs w:val="24"/>
        </w:rPr>
        <w:t>The short term-cost</w:t>
      </w:r>
      <w:r w:rsidR="00E7256A" w:rsidRPr="00E836C4">
        <w:rPr>
          <w:rFonts w:ascii="Times New Roman" w:hAnsi="Times New Roman" w:cs="Times New Roman"/>
          <w:b/>
          <w:sz w:val="24"/>
          <w:szCs w:val="24"/>
        </w:rPr>
        <w:t xml:space="preserve"> </w:t>
      </w:r>
      <w:r w:rsidR="00E7256A" w:rsidRPr="00E836C4">
        <w:rPr>
          <w:rFonts w:ascii="Times New Roman" w:hAnsi="Times New Roman" w:cs="Times New Roman"/>
          <w:sz w:val="24"/>
          <w:szCs w:val="24"/>
        </w:rPr>
        <w:t>includes cost for cameras and docking stations, peripheral equipment, storage, software, and the cameras</w:t>
      </w:r>
      <w:r w:rsidR="00E7256A" w:rsidRPr="00E836C4">
        <w:rPr>
          <w:rFonts w:ascii="Times New Roman" w:hAnsi="Times New Roman" w:cs="Times New Roman"/>
          <w:b/>
          <w:sz w:val="24"/>
          <w:szCs w:val="24"/>
        </w:rPr>
        <w:t xml:space="preserve">. </w:t>
      </w:r>
      <w:r w:rsidR="00E7256A" w:rsidRPr="00E836C4">
        <w:rPr>
          <w:rFonts w:ascii="Times New Roman" w:hAnsi="Times New Roman" w:cs="Times New Roman"/>
          <w:sz w:val="24"/>
          <w:szCs w:val="24"/>
        </w:rPr>
        <w:t>The long-term cost includes cost for maintenance, information technology infrastructure, personnel, prosecution video transmission, and public information request. Overly, it is estimated that the total cost will be around 275, 560 dollars</w:t>
      </w:r>
      <w:r w:rsidR="00E7256A" w:rsidRPr="00E836C4">
        <w:rPr>
          <w:rFonts w:ascii="Times New Roman" w:hAnsi="Times New Roman" w:cs="Times New Roman"/>
          <w:sz w:val="24"/>
          <w:szCs w:val="24"/>
        </w:rPr>
        <w:t xml:space="preserve">. </w:t>
      </w:r>
      <w:r w:rsidRPr="00E836C4">
        <w:rPr>
          <w:rFonts w:ascii="Times New Roman" w:hAnsi="Times New Roman" w:cs="Times New Roman"/>
          <w:b/>
          <w:sz w:val="24"/>
          <w:szCs w:val="24"/>
        </w:rPr>
        <w:t>Strategic Plan for Implementation</w:t>
      </w:r>
      <w:r w:rsidRPr="00E836C4">
        <w:rPr>
          <w:rFonts w:ascii="Times New Roman" w:hAnsi="Times New Roman" w:cs="Times New Roman"/>
          <w:sz w:val="24"/>
          <w:szCs w:val="24"/>
        </w:rPr>
        <w:t xml:space="preserve">: The implementation plan of body cameras among the police encompasses the delivery of training services to the police and the civilians, deployment of cameras, implementation of control measures on privacy, data collection plan for independent project evaluation, and the implementation of a data management system. This will happen in phases beginning with a control program to see how officers perform. Feedback from the officers and the public will be critical before the full rollout to have a useful program. The phased rollout is crucial to examine emerging issues in BWC practice and implementation. </w:t>
      </w:r>
      <w:r w:rsidRPr="00E836C4">
        <w:rPr>
          <w:rFonts w:ascii="Times New Roman" w:hAnsi="Times New Roman" w:cs="Times New Roman"/>
          <w:b/>
          <w:sz w:val="24"/>
          <w:szCs w:val="24"/>
        </w:rPr>
        <w:t>Congruence with ASPA's Code of Ethics</w:t>
      </w:r>
      <w:r w:rsidRPr="00E836C4">
        <w:rPr>
          <w:rFonts w:ascii="Times New Roman" w:hAnsi="Times New Roman" w:cs="Times New Roman"/>
          <w:sz w:val="24"/>
          <w:szCs w:val="24"/>
        </w:rPr>
        <w:t xml:space="preserve">: The implementation of police body cameras has raised several ethical and social concerns while other stakeholders are concerned whether this technology is congruent with </w:t>
      </w:r>
      <w:r w:rsidRPr="00E836C4">
        <w:rPr>
          <w:rFonts w:ascii="Times New Roman" w:hAnsi="Times New Roman" w:cs="Times New Roman"/>
          <w:sz w:val="24"/>
          <w:szCs w:val="24"/>
        </w:rPr>
        <w:lastRenderedPageBreak/>
        <w:t xml:space="preserve">ASPA's Code of Ethics. The Code of Ethics highlights the principles that all public servants are supposed to uphold while discharging their public duties. Some of its provisions include advancing the interest of the public, upholding the constitution, solidifying social equity, demonstrating individual integrity, and promoting ethical organizations. However, the use of police body cameras has raised several ethical and social concerns, such as privacy, community involvement, bias in video evidence, manipulation, modification, and misrepresentation of video footage, and procedural justice and legitimacy.          </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Background and Description</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The police-worn body camera is a modern technology aspect that entails mounting the cameras on the chest area or eyeglasses of an officer on patrol, thereby offering accurate time information (Todak &amp; Gaub, 2019). In that regard, the officers find it easier to collect essential information while investigating matters patterning criminal offenses. Also, the worn body cameras provide the officers with a surveillance tool, thus promoting efficiency, quick resolution, corroborating evidence, and safety. The widespread call for police reforms across the world has seen several inventions emerge in the police department. Such inventions have been initiated following the urge to hold the officers accountable and boost the department's transparency (White &amp; Malm, 2020). As such, the United States government, for about two decades, has explored and implemented the use of police body cameras as a policy aimed at rebuilding citizen trust with the police department. The program has given the police department a better chance to collect enough evidence and settle pertinent issues during controversial investigations. </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lastRenderedPageBreak/>
        <w:t xml:space="preserve">Police-worn body cameras were introduced first in 2005 in the United Kingdom to increase the transparency of the police force. Later in 2005, the United States of America introduced them to their police force.  The body-worn camera was initiated in police to ensure there is transparency between police and the public (Wolfe et al., 2020). The introduction of a body-worn camera was challenging because there were no precise legal measures or policies to control the application of body-worn cameras. In the USA, most states such as New York did not have rigid rules that guided the body's wearing cameras by police officers. Similarly, the difference in guidance on applying the body-worn cameras in different states of the USA confuses the application and use of body-worn cameras. The use of body cameras among the police in the United States intensified in 2014 due to the case of Michael Brown, an unarmed African-American shot by the US police (Stoughton, 2017). The death of Brown sparked the use of body cameras among the police in the country. In Los Angeles, the use of police body cameras began in 2015 (Stoughton, 2017). </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Solution and Justification</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Having learned that numerous issues surround the use of body-worn cameras among the police, several solutions can be implemented to curb these issues and facilitate effectiveness and efficiency in the use of this technology. First, the privacy of citizens is a fundamental issue and a top priority in the use of this technology. Therefore, while implementing this program, the states should formulate policies that ensure that the body-worn cameras preserve the citizens' right to privacy (Yokum et al., 2017). Notably, previous studies have shown that unregulated use of body-worn cameras leads to the invention of people's privacy. Therefore, the benefit of formulating this governing policy is that it will help in dealing with the issue of privacy invention. However, one of the major challenges associated with this is that the invention might </w:t>
      </w:r>
      <w:r w:rsidRPr="00E836C4">
        <w:rPr>
          <w:rFonts w:ascii="Times New Roman" w:hAnsi="Times New Roman" w:cs="Times New Roman"/>
          <w:sz w:val="24"/>
          <w:szCs w:val="24"/>
        </w:rPr>
        <w:lastRenderedPageBreak/>
        <w:t>be inevitable at the time, considering that some body-worn cameras might be hard to control what to be captured and what not to be captured.  Besides, body-worn cameras should strictly be for the police officers on duty to avoid interference with the law enforcement officer's privacy (Yokum et al., 2017). This is because every person is entitled to the right to privacy; therefore, the policies should uphold everyone's privacy right equally.</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In relation to the health issue, the government or the concerned authorities should be considerate when implementing the body-worn camera. The policymakers should educate the law enforcement officers on precautionary and safety measures that they should uphold to preserve their mental health and their physical health. For instance, if an officer encountered a traumatic event, they should be given counseling to help the police cope with the situation (Ariel, 2016). Additionally, the government should implement ways that lower the risk of physical injury while using body-worn cameras. At times, the police carry very heavy cameras on their neck resulting in neck aches, and this opens them to a potential risk of being electrocuted. Therefore, the police departments should purchase light body-worn cameras when on duty for their safety. In addition, in some stations, the cameras are limited, meaning that the police have them there, which puts them at risk of contracting transmissible diseases. Therefore, states should allocate resources for purchasing more body-worn cameras to deal with the issue of transmitting infectious diseases (Ariel, 2016). However, the only challenge associated with these solutions is that body-worn cameras are too expensive, becoming a challenge to the police departments to purchase adequate cameras.  </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Lastly, the police should be provided with adequate training on how to use body-worn cameras effectively. Notably, proper training is the determining factor for the success of the body-worn camera program. Besides, as with any other police department initiative, the agency's </w:t>
      </w:r>
      <w:r w:rsidRPr="00E836C4">
        <w:rPr>
          <w:rFonts w:ascii="Times New Roman" w:hAnsi="Times New Roman" w:cs="Times New Roman"/>
          <w:sz w:val="24"/>
          <w:szCs w:val="24"/>
        </w:rPr>
        <w:lastRenderedPageBreak/>
        <w:t>various roles might need unique content, delivery, and approach methods. Moreover, the training should include the following. First, the officers should be trained on the departmental body-worn cameras policy and any state law or tribal/local ordinances (Fan, 2018). Second, the police should be trained on how the conduct pre-shift inspection of the body-worn cameras to ensure that it is working well. Third, the officers should be trained on how and where to wear the body-worn cameras. Lastly, they should be trained on how to correctly document the recorded events as well as how to download the information for storage. This is beneficial to improve the effectiveness of the police, whereas some police are adamant about the implementation of the program; hence this might become a challenge. Besides, engaging with the public in a positive way regarding the body-worn camera deployment demonstrates transparency to the society (Fan, 2018). It also makes them supportive in a way that helps the police be effective in their duties.</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Political, Economic, and Social Considerations</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While there is a proposal to widen the adoption and use of body-worn cameras by law enforcement agencies, there are emerging concerns that may hinder the implementation or adoption of this proposal. This part of the essay highlights the key political, economic, and social concerns associated with police departments' body-worn cameras across the United States' law enforcement organizations.</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Political Concerns</w:t>
      </w:r>
    </w:p>
    <w:p w:rsidR="00E51785" w:rsidRPr="00E836C4" w:rsidRDefault="00E51785" w:rsidP="00E836C4">
      <w:pPr>
        <w:spacing w:line="480" w:lineRule="auto"/>
        <w:rPr>
          <w:rFonts w:ascii="Times New Roman" w:hAnsi="Times New Roman" w:cs="Times New Roman"/>
          <w:b/>
          <w:sz w:val="24"/>
          <w:szCs w:val="24"/>
        </w:rPr>
      </w:pPr>
      <w:r w:rsidRPr="00E836C4">
        <w:rPr>
          <w:rFonts w:ascii="Times New Roman" w:hAnsi="Times New Roman" w:cs="Times New Roman"/>
          <w:b/>
          <w:sz w:val="24"/>
          <w:szCs w:val="24"/>
        </w:rPr>
        <w:t>Privacy Concerns and Civil Liberties</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Police body-worn cameras have sparked politically heated debates over privacy concerns. This has resulted in some states like California prohibiting the use of body-worn cameras. Privacy fears have also emerged from the public on the use of body cameras. According to Cagle </w:t>
      </w:r>
      <w:r w:rsidRPr="00E836C4">
        <w:rPr>
          <w:rFonts w:ascii="Times New Roman" w:hAnsi="Times New Roman" w:cs="Times New Roman"/>
          <w:sz w:val="24"/>
          <w:szCs w:val="24"/>
        </w:rPr>
        <w:lastRenderedPageBreak/>
        <w:t>(2019), California, in 2019, banned the use of body-worn cameras, citing violation of civil liberties. This landmark law blocks the law enforcement institutions like the police from using body cameras on duty. This has raised concerns about the goal of body cameras. Body cameras were introduced to help enhance accountability and transparency within the police department. Instead, it has been turned into a spying and surveillance system by the police to spy on the public. As such, opponents believe that it is losing the intended purpose and instead of serving as a spying tool against the communities that they were supposed to help improve security.</w:t>
      </w:r>
    </w:p>
    <w:p w:rsidR="00E51785" w:rsidRPr="00E836C4" w:rsidRDefault="00E51785" w:rsidP="00E836C4">
      <w:pPr>
        <w:spacing w:line="480" w:lineRule="auto"/>
        <w:rPr>
          <w:rFonts w:ascii="Times New Roman" w:hAnsi="Times New Roman" w:cs="Times New Roman"/>
          <w:b/>
          <w:sz w:val="24"/>
          <w:szCs w:val="24"/>
        </w:rPr>
      </w:pPr>
      <w:r w:rsidRPr="00E836C4">
        <w:rPr>
          <w:rFonts w:ascii="Times New Roman" w:hAnsi="Times New Roman" w:cs="Times New Roman"/>
          <w:b/>
          <w:sz w:val="24"/>
          <w:szCs w:val="24"/>
        </w:rPr>
        <w:t>Legal Boundaries</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Apart from the privacy concerns, debates around body-worn cameras have also raised concerns on the police and the government's legal boundaries at large. According to Cagle (2019), the rise of the face and different other biometric surveillance technologies in law enforcement gives the government and the police unchecked and unregulated power to extend some of the political problems that the country has witnessed for centuries. According to Cagle (2019), the power that comes along with this technology can be easily misused and instead serve the wrong purpose, including classifying and discriminating citizens based on personal and innate features. California's law is one such move to tame the government and police from misusing tools that would otherwise be used to enhance security among the population. Even though California and other states that have banned using these cameras are also part of the government, they demonstrate that they are aware of the challenges that these technologies can bring if used in the wrong way.</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Economic Concerns</w:t>
      </w:r>
    </w:p>
    <w:p w:rsidR="00E51785" w:rsidRPr="00E836C4" w:rsidRDefault="00E51785" w:rsidP="00E836C4">
      <w:pPr>
        <w:spacing w:line="480" w:lineRule="auto"/>
        <w:rPr>
          <w:rFonts w:ascii="Times New Roman" w:hAnsi="Times New Roman" w:cs="Times New Roman"/>
          <w:b/>
          <w:sz w:val="24"/>
          <w:szCs w:val="24"/>
        </w:rPr>
      </w:pPr>
      <w:r w:rsidRPr="00E836C4">
        <w:rPr>
          <w:rFonts w:ascii="Times New Roman" w:hAnsi="Times New Roman" w:cs="Times New Roman"/>
          <w:b/>
          <w:sz w:val="24"/>
          <w:szCs w:val="24"/>
        </w:rPr>
        <w:t>The Exorbitant Budget of Securing the Cameras</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lastRenderedPageBreak/>
        <w:t xml:space="preserve">One of the barriers to the implementation of body-worn cameras across the United States is the cost issue. Opponents and even some proponents of this technology have expressed their concerns about the huge budget that would be needed to equip the police departments with body cameras. The cost is very high, and it would require that the government invest a huge amount of taxpayers' money to fund the project. The states and counties that have already been using body-worn cameras are incurring a significant amount of cost to secure and implement the project. A comparison of Mesa, Phoenix, and Dallas Counties on the use of body-worn cameras indicates that these counties are going to the extreme to fund and budget the programs. The figure below shows a comparison of the annual cost of body-worn camera programs in these three counties. </w:t>
      </w:r>
    </w:p>
    <w:p w:rsidR="00E51785" w:rsidRPr="00E836C4" w:rsidRDefault="000D5265" w:rsidP="00E836C4">
      <w:pPr>
        <w:spacing w:line="480" w:lineRule="auto"/>
        <w:rPr>
          <w:rFonts w:ascii="Times New Roman" w:hAnsi="Times New Roman" w:cs="Times New Roman"/>
          <w:sz w:val="24"/>
          <w:szCs w:val="24"/>
        </w:rPr>
      </w:pPr>
      <w:r w:rsidRPr="00E836C4">
        <w:rPr>
          <w:rFonts w:ascii="Times New Roman" w:hAnsi="Times New Roman" w:cs="Times New Roman"/>
          <w:noProof/>
          <w:sz w:val="24"/>
          <w:szCs w:val="24"/>
        </w:rPr>
        <w:drawing>
          <wp:inline distT="0" distB="0" distL="0" distR="0" wp14:anchorId="00BCF826" wp14:editId="6C8876FC">
            <wp:extent cx="4312508" cy="2570205"/>
            <wp:effectExtent l="0" t="0" r="12065" b="209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1785" w:rsidRPr="00E836C4" w:rsidRDefault="00E51785" w:rsidP="00E836C4">
      <w:pPr>
        <w:spacing w:line="480" w:lineRule="auto"/>
        <w:rPr>
          <w:rFonts w:ascii="Times New Roman" w:hAnsi="Times New Roman" w:cs="Times New Roman"/>
          <w:i/>
          <w:sz w:val="24"/>
          <w:szCs w:val="24"/>
        </w:rPr>
      </w:pPr>
      <w:r w:rsidRPr="00E836C4">
        <w:rPr>
          <w:rFonts w:ascii="Times New Roman" w:hAnsi="Times New Roman" w:cs="Times New Roman"/>
          <w:i/>
          <w:sz w:val="24"/>
          <w:szCs w:val="24"/>
        </w:rPr>
        <w:t>Figure 1: Comparison of Annual Costs of BCW (Source: Police Executive Research Forum, 2018)</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As seen in the above figure, none of the cities have fully implemented the BWC program, and yet an exorbitant budget is already experienced. For example, Phoenix that has only implemented the program at 10%, is already incurring a budget of $1,009,050 in one year to cater to the program's implementation (Police Executive Research Forum, 2018). One can only </w:t>
      </w:r>
      <w:r w:rsidRPr="00E836C4">
        <w:rPr>
          <w:rFonts w:ascii="Times New Roman" w:hAnsi="Times New Roman" w:cs="Times New Roman"/>
          <w:sz w:val="24"/>
          <w:szCs w:val="24"/>
        </w:rPr>
        <w:lastRenderedPageBreak/>
        <w:t>imagine the amount that would be needed if the program goes to full implementation. Therefore, the cost is becoming a significant economic issue of concern to the adoption of this program.</w:t>
      </w:r>
    </w:p>
    <w:p w:rsidR="00E51785" w:rsidRPr="00E836C4" w:rsidRDefault="00E51785" w:rsidP="00E836C4">
      <w:pPr>
        <w:spacing w:line="480" w:lineRule="auto"/>
        <w:rPr>
          <w:rFonts w:ascii="Times New Roman" w:hAnsi="Times New Roman" w:cs="Times New Roman"/>
          <w:b/>
          <w:sz w:val="24"/>
          <w:szCs w:val="24"/>
        </w:rPr>
      </w:pPr>
      <w:r w:rsidRPr="00E836C4">
        <w:rPr>
          <w:rFonts w:ascii="Times New Roman" w:hAnsi="Times New Roman" w:cs="Times New Roman"/>
          <w:b/>
          <w:sz w:val="24"/>
          <w:szCs w:val="24"/>
        </w:rPr>
        <w:t>Economically Unreliable</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Apart from the concerns that the cost of securing these cameras is huge, other concerns are also emerging on whether they are economically reliable for the police departments, especially smaller police departments. As Cagle (2019), further explains, among the key reasons that led to the use of body-worn cameras being banned in California includes their economic unreliability. This means that the budget associated with maintenance of the cameras, insufficient battery length that cannot sustain daily policing </w:t>
      </w:r>
      <w:r w:rsidR="00E7256A" w:rsidRPr="00E836C4">
        <w:rPr>
          <w:rFonts w:ascii="Times New Roman" w:hAnsi="Times New Roman" w:cs="Times New Roman"/>
          <w:sz w:val="24"/>
          <w:szCs w:val="24"/>
        </w:rPr>
        <w:t>work</w:t>
      </w:r>
      <w:r w:rsidRPr="00E836C4">
        <w:rPr>
          <w:rFonts w:ascii="Times New Roman" w:hAnsi="Times New Roman" w:cs="Times New Roman"/>
          <w:sz w:val="24"/>
          <w:szCs w:val="24"/>
        </w:rPr>
        <w:t xml:space="preserve"> and battery life that diminish quickly during cold seasons makes this technology unreliable. To effectively maintain these gadgets' operations and functions, the police departments will have to have a supplementary budget to deal with the dynamics such as weather and long hours of policing. This is economically unrealistic and unreliable for small police departments like Sheriff's departments. These are genuine concerns, and with the political discussions revolving around cutting the law enforcement budget, the reality of implementing such costly programs is becoming unrealistic.</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Social Concerns</w:t>
      </w:r>
    </w:p>
    <w:p w:rsidR="00E51785" w:rsidRPr="00E836C4" w:rsidRDefault="00E51785" w:rsidP="00E836C4">
      <w:pPr>
        <w:spacing w:line="480" w:lineRule="auto"/>
        <w:rPr>
          <w:rFonts w:ascii="Times New Roman" w:hAnsi="Times New Roman" w:cs="Times New Roman"/>
          <w:b/>
          <w:sz w:val="24"/>
          <w:szCs w:val="24"/>
        </w:rPr>
      </w:pPr>
      <w:r w:rsidRPr="00E836C4">
        <w:rPr>
          <w:rFonts w:ascii="Times New Roman" w:hAnsi="Times New Roman" w:cs="Times New Roman"/>
          <w:b/>
          <w:sz w:val="24"/>
          <w:szCs w:val="24"/>
        </w:rPr>
        <w:t>Safety of the Police Officers</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Even though police officers are expected to provide security for the public, they are also exposed to myriads of danger and threats from the public. Research has shown that police officers with body-worn cameras are exposed to more risks, including attacks and assaults from the public. According to Ariel et al. (2016), assaults on police officers with body cameras on were 14%. This is attributed to the fact that people react differently when they realize that the </w:t>
      </w:r>
      <w:r w:rsidRPr="00E836C4">
        <w:rPr>
          <w:rFonts w:ascii="Times New Roman" w:hAnsi="Times New Roman" w:cs="Times New Roman"/>
          <w:sz w:val="24"/>
          <w:szCs w:val="24"/>
        </w:rPr>
        <w:lastRenderedPageBreak/>
        <w:t>police are filming them. Some of these people may be under the influence of drugs or alcohol, while others are suffering from mental health conditions.</w:t>
      </w:r>
    </w:p>
    <w:p w:rsidR="00E51785" w:rsidRPr="00E836C4" w:rsidRDefault="00E51785" w:rsidP="00E836C4">
      <w:pPr>
        <w:spacing w:line="480" w:lineRule="auto"/>
        <w:rPr>
          <w:rFonts w:ascii="Times New Roman" w:hAnsi="Times New Roman" w:cs="Times New Roman"/>
          <w:b/>
          <w:sz w:val="24"/>
          <w:szCs w:val="24"/>
        </w:rPr>
      </w:pPr>
      <w:r w:rsidRPr="00E836C4">
        <w:rPr>
          <w:rFonts w:ascii="Times New Roman" w:hAnsi="Times New Roman" w:cs="Times New Roman"/>
          <w:b/>
          <w:sz w:val="24"/>
          <w:szCs w:val="24"/>
        </w:rPr>
        <w:t>Health Concerns for the Police</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The use of body cameras has been linked to numerous health concerns ranging from physical health to mental health concerns. Police officers are already carrying many equipment and gadgets such as gas masks, mace, flashlights, memo books, ASPs, radio, handcuffs, and even a gun (Hood, 2020). Adding more equipment like a body camera is increasing safety issues for the police officers who carry them. Shueh (2017), explains that some of the gadgets have experienced problems, including electrocution from faulty and damaged cameras. Others have expressed their concerns over the spread of contagious diseases. </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Cost Assessment</w:t>
      </w:r>
    </w:p>
    <w:tbl>
      <w:tblPr>
        <w:tblW w:w="0" w:type="auto"/>
        <w:tblInd w:w="78" w:type="dxa"/>
        <w:tblLayout w:type="fixed"/>
        <w:tblLook w:val="0000" w:firstRow="0" w:lastRow="0" w:firstColumn="0" w:lastColumn="0" w:noHBand="0" w:noVBand="0"/>
      </w:tblPr>
      <w:tblGrid>
        <w:gridCol w:w="1025"/>
        <w:gridCol w:w="1975"/>
        <w:gridCol w:w="3510"/>
        <w:gridCol w:w="90"/>
        <w:gridCol w:w="2700"/>
      </w:tblGrid>
      <w:tr w:rsidR="00553E91" w:rsidRPr="00E836C4" w:rsidTr="00B578F9">
        <w:tblPrEx>
          <w:tblCellMar>
            <w:top w:w="0" w:type="dxa"/>
            <w:bottom w:w="0" w:type="dxa"/>
          </w:tblCellMar>
        </w:tblPrEx>
        <w:trPr>
          <w:trHeight w:val="82"/>
        </w:trPr>
        <w:tc>
          <w:tcPr>
            <w:tcW w:w="6600" w:type="dxa"/>
            <w:gridSpan w:val="4"/>
            <w:tcBorders>
              <w:top w:val="nil"/>
              <w:left w:val="nil"/>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 xml:space="preserve">Short Term Costs </w:t>
            </w:r>
          </w:p>
        </w:tc>
        <w:tc>
          <w:tcPr>
            <w:tcW w:w="2700" w:type="dxa"/>
            <w:tcBorders>
              <w:top w:val="nil"/>
              <w:left w:val="nil"/>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r>
      <w:tr w:rsidR="00553E91" w:rsidRPr="00E836C4" w:rsidTr="00B578F9">
        <w:tblPrEx>
          <w:tblCellMar>
            <w:top w:w="0" w:type="dxa"/>
            <w:bottom w:w="0" w:type="dxa"/>
          </w:tblCellMar>
        </w:tblPrEx>
        <w:trPr>
          <w:trHeight w:val="86"/>
        </w:trPr>
        <w:tc>
          <w:tcPr>
            <w:tcW w:w="1025" w:type="dxa"/>
            <w:tcBorders>
              <w:top w:val="nil"/>
              <w:left w:val="nil"/>
              <w:bottom w:val="nil"/>
              <w:right w:val="nil"/>
            </w:tcBorders>
            <w:shd w:val="solid" w:color="969696" w:fill="auto"/>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Category</w:t>
            </w:r>
          </w:p>
        </w:tc>
        <w:tc>
          <w:tcPr>
            <w:tcW w:w="5575" w:type="dxa"/>
            <w:gridSpan w:val="3"/>
            <w:tcBorders>
              <w:top w:val="nil"/>
              <w:left w:val="nil"/>
              <w:bottom w:val="nil"/>
              <w:right w:val="nil"/>
            </w:tcBorders>
            <w:shd w:val="solid" w:color="969696" w:fill="auto"/>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 xml:space="preserve">                                                     Item                                </w:t>
            </w:r>
          </w:p>
        </w:tc>
        <w:tc>
          <w:tcPr>
            <w:tcW w:w="2700" w:type="dxa"/>
            <w:tcBorders>
              <w:top w:val="nil"/>
              <w:left w:val="nil"/>
              <w:bottom w:val="nil"/>
              <w:right w:val="nil"/>
            </w:tcBorders>
            <w:shd w:val="solid" w:color="969696" w:fill="auto"/>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BWC, Inc.</w:t>
            </w:r>
          </w:p>
        </w:tc>
      </w:tr>
      <w:tr w:rsidR="00553E91" w:rsidRPr="00E836C4" w:rsidTr="00B578F9">
        <w:tblPrEx>
          <w:tblCellMar>
            <w:top w:w="0" w:type="dxa"/>
            <w:bottom w:w="0" w:type="dxa"/>
          </w:tblCellMar>
        </w:tblPrEx>
        <w:trPr>
          <w:trHeight w:val="89"/>
        </w:trPr>
        <w:tc>
          <w:tcPr>
            <w:tcW w:w="6600" w:type="dxa"/>
            <w:gridSpan w:val="4"/>
            <w:tcBorders>
              <w:top w:val="single" w:sz="18" w:space="0" w:color="969696"/>
              <w:left w:val="single" w:sz="18" w:space="0" w:color="969696"/>
              <w:bottom w:val="nil"/>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Vendor Name(s)</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BWC, Inc.</w:t>
            </w:r>
          </w:p>
        </w:tc>
      </w:tr>
      <w:tr w:rsidR="00553E91" w:rsidRPr="00E836C4" w:rsidTr="00B578F9">
        <w:tblPrEx>
          <w:tblCellMar>
            <w:top w:w="0" w:type="dxa"/>
            <w:bottom w:w="0" w:type="dxa"/>
          </w:tblCellMar>
        </w:tblPrEx>
        <w:trPr>
          <w:trHeight w:val="89"/>
        </w:trPr>
        <w:tc>
          <w:tcPr>
            <w:tcW w:w="3000" w:type="dxa"/>
            <w:gridSpan w:val="2"/>
            <w:tcBorders>
              <w:top w:val="single" w:sz="18" w:space="0" w:color="969696"/>
              <w:left w:val="single" w:sz="18" w:space="0" w:color="969696"/>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Cameras and Docking Stations</w:t>
            </w:r>
          </w:p>
        </w:tc>
        <w:tc>
          <w:tcPr>
            <w:tcW w:w="6300" w:type="dxa"/>
            <w:gridSpan w:val="3"/>
            <w:tcBorders>
              <w:top w:val="nil"/>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Cameras and Docking Stations</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Cost per camera</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Cost per docking station</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single" w:sz="18" w:space="0" w:color="969696"/>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nil"/>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 of cameras per docking station</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10</w:t>
            </w:r>
          </w:p>
        </w:tc>
      </w:tr>
      <w:tr w:rsidR="00553E91" w:rsidRPr="00E836C4" w:rsidTr="00B578F9">
        <w:tblPrEx>
          <w:tblCellMar>
            <w:top w:w="0" w:type="dxa"/>
            <w:bottom w:w="0" w:type="dxa"/>
          </w:tblCellMar>
        </w:tblPrEx>
        <w:trPr>
          <w:trHeight w:val="98"/>
        </w:trPr>
        <w:tc>
          <w:tcPr>
            <w:tcW w:w="3000" w:type="dxa"/>
            <w:gridSpan w:val="2"/>
            <w:tcBorders>
              <w:top w:val="single" w:sz="18" w:space="0" w:color="969696"/>
              <w:left w:val="single" w:sz="18" w:space="0" w:color="969696"/>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 xml:space="preserve">Number of BWC </w:t>
            </w:r>
            <w:r w:rsidRPr="00E836C4">
              <w:rPr>
                <w:rFonts w:ascii="Times New Roman" w:hAnsi="Times New Roman" w:cs="Times New Roman"/>
                <w:b/>
                <w:bCs/>
                <w:color w:val="000000"/>
                <w:sz w:val="24"/>
                <w:szCs w:val="24"/>
              </w:rPr>
              <w:lastRenderedPageBreak/>
              <w:t>Purchased per Year</w:t>
            </w:r>
          </w:p>
        </w:tc>
        <w:tc>
          <w:tcPr>
            <w:tcW w:w="6300" w:type="dxa"/>
            <w:gridSpan w:val="3"/>
            <w:tcBorders>
              <w:top w:val="single" w:sz="18"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lastRenderedPageBreak/>
              <w:t>Number of BWC Purchased per Year</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Year 1</w:t>
            </w:r>
          </w:p>
        </w:tc>
        <w:tc>
          <w:tcPr>
            <w:tcW w:w="2700" w:type="dxa"/>
            <w:tcBorders>
              <w:top w:val="single" w:sz="18" w:space="0" w:color="969696"/>
              <w:left w:val="nil"/>
              <w:bottom w:val="single" w:sz="18" w:space="0" w:color="969696"/>
              <w:right w:val="single" w:sz="18" w:space="0" w:color="969696"/>
            </w:tcBorders>
            <w:shd w:val="thinReverseDiagStripe" w:color="FFFFFF" w:fill="C0C0C0"/>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100</w:t>
            </w:r>
          </w:p>
        </w:tc>
      </w:tr>
      <w:tr w:rsidR="00553E91" w:rsidRPr="00E836C4" w:rsidTr="00B578F9">
        <w:tblPrEx>
          <w:tblCellMar>
            <w:top w:w="0" w:type="dxa"/>
            <w:bottom w:w="0" w:type="dxa"/>
          </w:tblCellMar>
        </w:tblPrEx>
        <w:trPr>
          <w:trHeight w:val="89"/>
        </w:trPr>
        <w:tc>
          <w:tcPr>
            <w:tcW w:w="3000" w:type="dxa"/>
            <w:gridSpan w:val="2"/>
            <w:tcBorders>
              <w:top w:val="single" w:sz="18" w:space="0" w:color="969696"/>
              <w:left w:val="single" w:sz="18" w:space="0" w:color="969696"/>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Storage</w:t>
            </w:r>
          </w:p>
        </w:tc>
        <w:tc>
          <w:tcPr>
            <w:tcW w:w="3600" w:type="dxa"/>
            <w:gridSpan w:val="2"/>
            <w:tcBorders>
              <w:top w:val="single" w:sz="18"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Storage</w:t>
            </w:r>
          </w:p>
        </w:tc>
        <w:tc>
          <w:tcPr>
            <w:tcW w:w="2700" w:type="dxa"/>
            <w:tcBorders>
              <w:top w:val="single" w:sz="18" w:space="0" w:color="969696"/>
              <w:left w:val="nil"/>
              <w:bottom w:val="single" w:sz="18" w:space="0" w:color="969696"/>
              <w:right w:val="single" w:sz="18" w:space="0" w:color="969696"/>
            </w:tcBorders>
            <w:shd w:val="pct75" w:color="auto" w:fill="969696"/>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Cloud fees per camera per month</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12</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i/>
                <w:iCs/>
                <w:color w:val="000000"/>
                <w:sz w:val="24"/>
                <w:szCs w:val="24"/>
              </w:rPr>
            </w:pPr>
            <w:r w:rsidRPr="00E836C4">
              <w:rPr>
                <w:rFonts w:ascii="Times New Roman" w:hAnsi="Times New Roman" w:cs="Times New Roman"/>
                <w:color w:val="000000"/>
                <w:sz w:val="24"/>
                <w:szCs w:val="24"/>
              </w:rPr>
              <w:t>Other fixed monthly cloud fees</w:t>
            </w:r>
            <w:r w:rsidRPr="00E836C4">
              <w:rPr>
                <w:rFonts w:ascii="Times New Roman" w:hAnsi="Times New Roman" w:cs="Times New Roman"/>
                <w:i/>
                <w:iCs/>
                <w:color w:val="000000"/>
                <w:sz w:val="24"/>
                <w:szCs w:val="24"/>
              </w:rPr>
              <w:t xml:space="preserve"> </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1500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single" w:sz="18" w:space="0" w:color="969696"/>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nil"/>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In-house video storage, overall cost</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75000</w:t>
            </w:r>
          </w:p>
        </w:tc>
      </w:tr>
      <w:tr w:rsidR="00553E91" w:rsidRPr="00E836C4" w:rsidTr="00B578F9">
        <w:tblPrEx>
          <w:tblCellMar>
            <w:top w:w="0" w:type="dxa"/>
            <w:bottom w:w="0" w:type="dxa"/>
          </w:tblCellMar>
        </w:tblPrEx>
        <w:trPr>
          <w:trHeight w:val="89"/>
        </w:trPr>
        <w:tc>
          <w:tcPr>
            <w:tcW w:w="3000" w:type="dxa"/>
            <w:gridSpan w:val="2"/>
            <w:tcBorders>
              <w:top w:val="single" w:sz="18" w:space="0" w:color="969696"/>
              <w:left w:val="single" w:sz="18" w:space="0" w:color="969696"/>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Peripheral Equipment</w:t>
            </w:r>
          </w:p>
        </w:tc>
        <w:tc>
          <w:tcPr>
            <w:tcW w:w="6300" w:type="dxa"/>
            <w:gridSpan w:val="3"/>
            <w:tcBorders>
              <w:top w:val="single" w:sz="18"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Peripheral Equipment</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Spare cameras</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Camera mounts not included with camera</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Cost per camera mount</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20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Allowance for Annual cost of other spare parts</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 of auto-initiation triggers</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1000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Cost per auto-initiation trigger</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single" w:sz="18" w:space="0" w:color="969696"/>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18"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 xml:space="preserve">Peripheral equipment </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500</w:t>
            </w:r>
          </w:p>
        </w:tc>
      </w:tr>
      <w:tr w:rsidR="00553E91" w:rsidRPr="00E836C4" w:rsidTr="00B578F9">
        <w:tblPrEx>
          <w:tblCellMar>
            <w:top w:w="0" w:type="dxa"/>
            <w:bottom w:w="0" w:type="dxa"/>
          </w:tblCellMar>
        </w:tblPrEx>
        <w:trPr>
          <w:trHeight w:val="89"/>
        </w:trPr>
        <w:tc>
          <w:tcPr>
            <w:tcW w:w="3000" w:type="dxa"/>
            <w:gridSpan w:val="2"/>
            <w:tcBorders>
              <w:top w:val="single" w:sz="18" w:space="0" w:color="969696"/>
              <w:left w:val="single" w:sz="18" w:space="0" w:color="969696"/>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Licenses (annual fees)</w:t>
            </w:r>
          </w:p>
        </w:tc>
        <w:tc>
          <w:tcPr>
            <w:tcW w:w="6300" w:type="dxa"/>
            <w:gridSpan w:val="3"/>
            <w:tcBorders>
              <w:top w:val="nil"/>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Licenses (annual fees)</w:t>
            </w:r>
          </w:p>
        </w:tc>
      </w:tr>
      <w:tr w:rsidR="00553E91" w:rsidRPr="00E836C4" w:rsidTr="00B578F9">
        <w:tblPrEx>
          <w:tblCellMar>
            <w:top w:w="0" w:type="dxa"/>
            <w:bottom w:w="0" w:type="dxa"/>
          </w:tblCellMar>
        </w:tblPrEx>
        <w:trPr>
          <w:trHeight w:val="89"/>
        </w:trPr>
        <w:tc>
          <w:tcPr>
            <w:tcW w:w="3000" w:type="dxa"/>
            <w:gridSpan w:val="2"/>
            <w:tcBorders>
              <w:top w:val="single" w:sz="6" w:space="0" w:color="969696"/>
              <w:left w:val="single" w:sz="18" w:space="0" w:color="969696"/>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i/>
                <w:iCs/>
                <w:color w:val="000000"/>
                <w:sz w:val="24"/>
                <w:szCs w:val="24"/>
              </w:rPr>
            </w:pPr>
            <w:r w:rsidRPr="00E836C4">
              <w:rPr>
                <w:rFonts w:ascii="Times New Roman" w:hAnsi="Times New Roman" w:cs="Times New Roman"/>
                <w:i/>
                <w:iCs/>
                <w:color w:val="000000"/>
                <w:sz w:val="24"/>
                <w:szCs w:val="24"/>
              </w:rPr>
              <w:t>Software</w:t>
            </w: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Video management software</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15000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Video editing and redaction software</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10000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single" w:sz="6" w:space="0" w:color="969696"/>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CAD integration</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5000</w:t>
            </w:r>
          </w:p>
        </w:tc>
      </w:tr>
      <w:tr w:rsidR="00553E91" w:rsidRPr="00E836C4" w:rsidTr="00B578F9">
        <w:tblPrEx>
          <w:tblCellMar>
            <w:top w:w="0" w:type="dxa"/>
            <w:bottom w:w="0" w:type="dxa"/>
          </w:tblCellMar>
        </w:tblPrEx>
        <w:trPr>
          <w:trHeight w:val="175"/>
        </w:trPr>
        <w:tc>
          <w:tcPr>
            <w:tcW w:w="3000" w:type="dxa"/>
            <w:gridSpan w:val="2"/>
            <w:tcBorders>
              <w:top w:val="nil"/>
              <w:left w:val="single" w:sz="18" w:space="0" w:color="969696"/>
              <w:bottom w:val="single" w:sz="18" w:space="0" w:color="969696"/>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i/>
                <w:iCs/>
                <w:color w:val="000000"/>
                <w:sz w:val="24"/>
                <w:szCs w:val="24"/>
              </w:rPr>
            </w:pPr>
            <w:r w:rsidRPr="00E836C4">
              <w:rPr>
                <w:rFonts w:ascii="Times New Roman" w:hAnsi="Times New Roman" w:cs="Times New Roman"/>
                <w:b/>
                <w:bCs/>
                <w:i/>
                <w:iCs/>
                <w:color w:val="000000"/>
                <w:sz w:val="24"/>
                <w:szCs w:val="24"/>
              </w:rPr>
              <w:t xml:space="preserve">Long Term Costs </w:t>
            </w:r>
          </w:p>
        </w:tc>
        <w:tc>
          <w:tcPr>
            <w:tcW w:w="3600" w:type="dxa"/>
            <w:gridSpan w:val="2"/>
            <w:tcBorders>
              <w:top w:val="single" w:sz="6" w:space="0" w:color="969696"/>
              <w:left w:val="single" w:sz="18" w:space="0" w:color="969696"/>
              <w:bottom w:val="nil"/>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Other</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500</w:t>
            </w:r>
          </w:p>
        </w:tc>
      </w:tr>
      <w:tr w:rsidR="00553E91" w:rsidRPr="00E836C4" w:rsidTr="00B578F9">
        <w:tblPrEx>
          <w:tblCellMar>
            <w:top w:w="0" w:type="dxa"/>
            <w:bottom w:w="0" w:type="dxa"/>
          </w:tblCellMar>
        </w:tblPrEx>
        <w:trPr>
          <w:trHeight w:val="89"/>
        </w:trPr>
        <w:tc>
          <w:tcPr>
            <w:tcW w:w="3000" w:type="dxa"/>
            <w:gridSpan w:val="2"/>
            <w:tcBorders>
              <w:top w:val="single" w:sz="18" w:space="0" w:color="969696"/>
              <w:left w:val="single" w:sz="18" w:space="0" w:color="969696"/>
              <w:bottom w:val="single" w:sz="18" w:space="0" w:color="969696"/>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Maintenance</w:t>
            </w:r>
          </w:p>
        </w:tc>
        <w:tc>
          <w:tcPr>
            <w:tcW w:w="3600" w:type="dxa"/>
            <w:gridSpan w:val="2"/>
            <w:tcBorders>
              <w:top w:val="single" w:sz="18"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 xml:space="preserve">Maintenance not included elsewhere </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500</w:t>
            </w:r>
          </w:p>
        </w:tc>
      </w:tr>
      <w:tr w:rsidR="00553E91" w:rsidRPr="00E836C4" w:rsidTr="00B578F9">
        <w:tblPrEx>
          <w:tblCellMar>
            <w:top w:w="0" w:type="dxa"/>
            <w:bottom w:w="0" w:type="dxa"/>
          </w:tblCellMar>
        </w:tblPrEx>
        <w:trPr>
          <w:trHeight w:val="89"/>
        </w:trPr>
        <w:tc>
          <w:tcPr>
            <w:tcW w:w="3000" w:type="dxa"/>
            <w:gridSpan w:val="2"/>
            <w:tcBorders>
              <w:top w:val="single" w:sz="18" w:space="0" w:color="969696"/>
              <w:left w:val="single" w:sz="18" w:space="0" w:color="969696"/>
              <w:bottom w:val="single" w:sz="18" w:space="0" w:color="969696"/>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IT Infrastructure</w:t>
            </w:r>
          </w:p>
        </w:tc>
        <w:tc>
          <w:tcPr>
            <w:tcW w:w="3600" w:type="dxa"/>
            <w:gridSpan w:val="2"/>
            <w:tcBorders>
              <w:top w:val="single" w:sz="6" w:space="0" w:color="969696"/>
              <w:left w:val="single" w:sz="18" w:space="0" w:color="969696"/>
              <w:bottom w:val="single" w:sz="18"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Cost to upgrade IT infrastructure (one-time cost)</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25000</w:t>
            </w:r>
          </w:p>
        </w:tc>
      </w:tr>
      <w:tr w:rsidR="00553E91" w:rsidRPr="00E836C4" w:rsidTr="00B578F9">
        <w:tblPrEx>
          <w:tblCellMar>
            <w:top w:w="0" w:type="dxa"/>
            <w:bottom w:w="0" w:type="dxa"/>
          </w:tblCellMar>
        </w:tblPrEx>
        <w:trPr>
          <w:trHeight w:val="89"/>
        </w:trPr>
        <w:tc>
          <w:tcPr>
            <w:tcW w:w="3000" w:type="dxa"/>
            <w:gridSpan w:val="2"/>
            <w:tcBorders>
              <w:top w:val="single" w:sz="18" w:space="0" w:color="969696"/>
              <w:left w:val="single" w:sz="18" w:space="0" w:color="969696"/>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Personnel</w:t>
            </w:r>
          </w:p>
        </w:tc>
        <w:tc>
          <w:tcPr>
            <w:tcW w:w="6300" w:type="dxa"/>
            <w:gridSpan w:val="3"/>
            <w:tcBorders>
              <w:top w:val="nil"/>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Personnel (annual, fully loaded)</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BWC project manager/coordinator</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100000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IT personnel</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200000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Training (trainer cost)</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45000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6300" w:type="dxa"/>
            <w:gridSpan w:val="3"/>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Public information personnel</w:t>
            </w:r>
          </w:p>
        </w:tc>
      </w:tr>
      <w:tr w:rsidR="00553E91" w:rsidRPr="00E836C4" w:rsidTr="00B578F9">
        <w:tblPrEx>
          <w:tblCellMar>
            <w:top w:w="0" w:type="dxa"/>
            <w:bottom w:w="0" w:type="dxa"/>
          </w:tblCellMar>
        </w:tblPrEx>
        <w:trPr>
          <w:trHeight w:val="187"/>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nil"/>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 xml:space="preserve">Other program personnel </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100000</w:t>
            </w:r>
          </w:p>
        </w:tc>
      </w:tr>
      <w:tr w:rsidR="00553E91" w:rsidRPr="00E836C4" w:rsidTr="00B578F9">
        <w:tblPrEx>
          <w:tblCellMar>
            <w:top w:w="0" w:type="dxa"/>
            <w:bottom w:w="0" w:type="dxa"/>
          </w:tblCellMar>
        </w:tblPrEx>
        <w:trPr>
          <w:trHeight w:val="187"/>
        </w:trPr>
        <w:tc>
          <w:tcPr>
            <w:tcW w:w="3000" w:type="dxa"/>
            <w:gridSpan w:val="2"/>
            <w:tcBorders>
              <w:top w:val="nil"/>
              <w:left w:val="nil"/>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6300" w:type="dxa"/>
            <w:gridSpan w:val="3"/>
            <w:tcBorders>
              <w:top w:val="nil"/>
              <w:left w:val="single" w:sz="18" w:space="0" w:color="969696"/>
              <w:bottom w:val="nil"/>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b/>
                <w:bCs/>
                <w:color w:val="FF0000"/>
                <w:sz w:val="24"/>
                <w:szCs w:val="24"/>
              </w:rPr>
              <w:t>Risks and Liabilities by other parties</w:t>
            </w:r>
            <w:r w:rsidRPr="00E836C4">
              <w:rPr>
                <w:rFonts w:ascii="Times New Roman" w:hAnsi="Times New Roman" w:cs="Times New Roman"/>
                <w:color w:val="000000"/>
                <w:sz w:val="24"/>
                <w:szCs w:val="24"/>
              </w:rPr>
              <w:t xml:space="preserve"> </w:t>
            </w:r>
          </w:p>
        </w:tc>
      </w:tr>
      <w:tr w:rsidR="00553E91" w:rsidRPr="00E836C4" w:rsidTr="00B578F9">
        <w:tblPrEx>
          <w:tblCellMar>
            <w:top w:w="0" w:type="dxa"/>
            <w:bottom w:w="0" w:type="dxa"/>
          </w:tblCellMar>
        </w:tblPrEx>
        <w:trPr>
          <w:trHeight w:val="89"/>
        </w:trPr>
        <w:tc>
          <w:tcPr>
            <w:tcW w:w="3000" w:type="dxa"/>
            <w:gridSpan w:val="2"/>
            <w:tcBorders>
              <w:top w:val="single" w:sz="18" w:space="0" w:color="969696"/>
              <w:left w:val="single" w:sz="18" w:space="0" w:color="969696"/>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Prosecution video transmission</w:t>
            </w:r>
          </w:p>
        </w:tc>
        <w:tc>
          <w:tcPr>
            <w:tcW w:w="6300" w:type="dxa"/>
            <w:gridSpan w:val="3"/>
            <w:tcBorders>
              <w:top w:val="single" w:sz="18"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Prosecution video transmission</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2700" w:type="dxa"/>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i/>
                <w:iCs/>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r>
      <w:tr w:rsidR="00553E91" w:rsidRPr="00E836C4" w:rsidTr="00B578F9">
        <w:tblPrEx>
          <w:tblCellMar>
            <w:top w:w="0" w:type="dxa"/>
            <w:bottom w:w="0" w:type="dxa"/>
          </w:tblCellMar>
        </w:tblPrEx>
        <w:trPr>
          <w:trHeight w:val="182"/>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r>
      <w:tr w:rsidR="00553E91" w:rsidRPr="00E836C4" w:rsidTr="00B578F9">
        <w:tblPrEx>
          <w:tblCellMar>
            <w:top w:w="0" w:type="dxa"/>
            <w:bottom w:w="0" w:type="dxa"/>
          </w:tblCellMar>
        </w:tblPrEx>
        <w:trPr>
          <w:trHeight w:val="170"/>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Prosecution video transmission personnel cost per video</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10</w:t>
            </w:r>
          </w:p>
        </w:tc>
      </w:tr>
      <w:tr w:rsidR="00553E91" w:rsidRPr="00E836C4" w:rsidTr="00B578F9">
        <w:tblPrEx>
          <w:tblCellMar>
            <w:top w:w="0" w:type="dxa"/>
            <w:bottom w:w="0" w:type="dxa"/>
          </w:tblCellMar>
        </w:tblPrEx>
        <w:trPr>
          <w:trHeight w:val="170"/>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Video editing and redaction equipment (upfront cost) per video</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5000</w:t>
            </w:r>
          </w:p>
        </w:tc>
      </w:tr>
      <w:tr w:rsidR="00553E91" w:rsidRPr="00E836C4" w:rsidTr="00B578F9">
        <w:tblPrEx>
          <w:tblCellMar>
            <w:top w:w="0" w:type="dxa"/>
            <w:bottom w:w="0" w:type="dxa"/>
          </w:tblCellMar>
        </w:tblPrEx>
        <w:trPr>
          <w:trHeight w:val="170"/>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Video editing and redaction supplies cost per video</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20</w:t>
            </w:r>
          </w:p>
        </w:tc>
      </w:tr>
      <w:tr w:rsidR="00553E91" w:rsidRPr="00E836C4" w:rsidTr="00B578F9">
        <w:tblPrEx>
          <w:tblCellMar>
            <w:top w:w="0" w:type="dxa"/>
            <w:bottom w:w="0" w:type="dxa"/>
          </w:tblCellMar>
        </w:tblPrEx>
        <w:trPr>
          <w:trHeight w:val="170"/>
        </w:trPr>
        <w:tc>
          <w:tcPr>
            <w:tcW w:w="3000" w:type="dxa"/>
            <w:gridSpan w:val="2"/>
            <w:tcBorders>
              <w:top w:val="nil"/>
              <w:left w:val="single" w:sz="18" w:space="0" w:color="969696"/>
              <w:bottom w:val="single" w:sz="18" w:space="0" w:color="969696"/>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600" w:type="dxa"/>
            <w:gridSpan w:val="2"/>
            <w:tcBorders>
              <w:top w:val="single" w:sz="6" w:space="0" w:color="969696"/>
              <w:left w:val="single" w:sz="18" w:space="0" w:color="969696"/>
              <w:bottom w:val="single" w:sz="18"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Video editing and redaction services cost per video</w:t>
            </w:r>
          </w:p>
        </w:tc>
        <w:tc>
          <w:tcPr>
            <w:tcW w:w="2700" w:type="dxa"/>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20</w:t>
            </w:r>
          </w:p>
        </w:tc>
      </w:tr>
      <w:tr w:rsidR="00553E91" w:rsidRPr="00E836C4" w:rsidTr="00B578F9">
        <w:tblPrEx>
          <w:tblCellMar>
            <w:top w:w="0" w:type="dxa"/>
            <w:bottom w:w="0" w:type="dxa"/>
          </w:tblCellMar>
        </w:tblPrEx>
        <w:trPr>
          <w:trHeight w:val="89"/>
        </w:trPr>
        <w:tc>
          <w:tcPr>
            <w:tcW w:w="3000" w:type="dxa"/>
            <w:gridSpan w:val="2"/>
            <w:tcBorders>
              <w:top w:val="single" w:sz="18" w:space="0" w:color="969696"/>
              <w:left w:val="single" w:sz="18" w:space="0" w:color="969696"/>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Public Information Request</w:t>
            </w:r>
          </w:p>
        </w:tc>
        <w:tc>
          <w:tcPr>
            <w:tcW w:w="6300" w:type="dxa"/>
            <w:gridSpan w:val="3"/>
            <w:tcBorders>
              <w:top w:val="single" w:sz="18"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Public Information Request</w:t>
            </w:r>
          </w:p>
        </w:tc>
      </w:tr>
      <w:tr w:rsidR="00553E91" w:rsidRPr="00E836C4" w:rsidTr="00B578F9">
        <w:tblPrEx>
          <w:tblCellMar>
            <w:top w:w="0" w:type="dxa"/>
            <w:bottom w:w="0" w:type="dxa"/>
          </w:tblCellMar>
        </w:tblPrEx>
        <w:trPr>
          <w:trHeight w:val="82"/>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p>
        </w:tc>
        <w:tc>
          <w:tcPr>
            <w:tcW w:w="3510" w:type="dxa"/>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Video editing and redaction equipment</w:t>
            </w:r>
          </w:p>
        </w:tc>
        <w:tc>
          <w:tcPr>
            <w:tcW w:w="2790" w:type="dxa"/>
            <w:gridSpan w:val="2"/>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5000</w:t>
            </w:r>
          </w:p>
        </w:tc>
      </w:tr>
      <w:tr w:rsidR="00553E91" w:rsidRPr="00E836C4" w:rsidTr="00B578F9">
        <w:tblPrEx>
          <w:tblCellMar>
            <w:top w:w="0" w:type="dxa"/>
            <w:bottom w:w="0" w:type="dxa"/>
          </w:tblCellMar>
        </w:tblPrEx>
        <w:trPr>
          <w:trHeight w:val="82"/>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p>
        </w:tc>
        <w:tc>
          <w:tcPr>
            <w:tcW w:w="3510" w:type="dxa"/>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Video editing and redaction supplies</w:t>
            </w:r>
          </w:p>
        </w:tc>
        <w:tc>
          <w:tcPr>
            <w:tcW w:w="2790" w:type="dxa"/>
            <w:gridSpan w:val="2"/>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20</w:t>
            </w:r>
          </w:p>
        </w:tc>
      </w:tr>
      <w:tr w:rsidR="00553E91" w:rsidRPr="00E836C4" w:rsidTr="00B578F9">
        <w:tblPrEx>
          <w:tblCellMar>
            <w:top w:w="0" w:type="dxa"/>
            <w:bottom w:w="0" w:type="dxa"/>
          </w:tblCellMar>
        </w:tblPrEx>
        <w:trPr>
          <w:trHeight w:val="82"/>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p>
        </w:tc>
        <w:tc>
          <w:tcPr>
            <w:tcW w:w="3510" w:type="dxa"/>
            <w:tcBorders>
              <w:top w:val="single" w:sz="6" w:space="0" w:color="969696"/>
              <w:left w:val="single" w:sz="18" w:space="0" w:color="969696"/>
              <w:bottom w:val="single" w:sz="6"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Video editing and redaction services</w:t>
            </w:r>
          </w:p>
        </w:tc>
        <w:tc>
          <w:tcPr>
            <w:tcW w:w="2790" w:type="dxa"/>
            <w:gridSpan w:val="2"/>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20</w:t>
            </w:r>
          </w:p>
        </w:tc>
      </w:tr>
      <w:tr w:rsidR="00553E91" w:rsidRPr="00E836C4" w:rsidTr="00B578F9">
        <w:tblPrEx>
          <w:tblCellMar>
            <w:top w:w="0" w:type="dxa"/>
            <w:bottom w:w="0" w:type="dxa"/>
          </w:tblCellMar>
        </w:tblPrEx>
        <w:trPr>
          <w:trHeight w:val="89"/>
        </w:trPr>
        <w:tc>
          <w:tcPr>
            <w:tcW w:w="3000" w:type="dxa"/>
            <w:gridSpan w:val="2"/>
            <w:tcBorders>
              <w:top w:val="nil"/>
              <w:left w:val="single" w:sz="18" w:space="0" w:color="969696"/>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510" w:type="dxa"/>
            <w:tcBorders>
              <w:top w:val="single" w:sz="6" w:space="0" w:color="969696"/>
              <w:left w:val="single" w:sz="18" w:space="0" w:color="969696"/>
              <w:bottom w:val="single" w:sz="18" w:space="0" w:color="969696"/>
              <w:right w:val="single" w:sz="18" w:space="0" w:color="969696"/>
            </w:tcBorders>
          </w:tcPr>
          <w:p w:rsidR="00553E91" w:rsidRPr="00E836C4" w:rsidRDefault="00553E91" w:rsidP="00E836C4">
            <w:pPr>
              <w:autoSpaceDE w:val="0"/>
              <w:autoSpaceDN w:val="0"/>
              <w:adjustRightInd w:val="0"/>
              <w:spacing w:after="0" w:line="480" w:lineRule="auto"/>
              <w:rPr>
                <w:rFonts w:ascii="Times New Roman" w:hAnsi="Times New Roman" w:cs="Times New Roman"/>
                <w:color w:val="000000"/>
                <w:sz w:val="24"/>
                <w:szCs w:val="24"/>
              </w:rPr>
            </w:pPr>
            <w:r w:rsidRPr="00E836C4">
              <w:rPr>
                <w:rFonts w:ascii="Times New Roman" w:hAnsi="Times New Roman" w:cs="Times New Roman"/>
                <w:color w:val="000000"/>
                <w:sz w:val="24"/>
                <w:szCs w:val="24"/>
              </w:rPr>
              <w:t>Public Information Request user fees</w:t>
            </w:r>
          </w:p>
        </w:tc>
        <w:tc>
          <w:tcPr>
            <w:tcW w:w="2790" w:type="dxa"/>
            <w:gridSpan w:val="2"/>
            <w:tcBorders>
              <w:top w:val="single" w:sz="18" w:space="0" w:color="969696"/>
              <w:left w:val="nil"/>
              <w:bottom w:val="single" w:sz="18" w:space="0" w:color="969696"/>
              <w:right w:val="single" w:sz="18" w:space="0" w:color="969696"/>
            </w:tcBorders>
            <w:shd w:val="pct5" w:color="808080" w:fill="99CCFF"/>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r w:rsidRPr="00E836C4">
              <w:rPr>
                <w:rFonts w:ascii="Times New Roman" w:hAnsi="Times New Roman" w:cs="Times New Roman"/>
                <w:color w:val="000000"/>
                <w:sz w:val="24"/>
                <w:szCs w:val="24"/>
              </w:rPr>
              <w:t>20</w:t>
            </w:r>
          </w:p>
        </w:tc>
      </w:tr>
      <w:tr w:rsidR="00553E91" w:rsidRPr="00E836C4" w:rsidTr="00B578F9">
        <w:tblPrEx>
          <w:tblCellMar>
            <w:top w:w="0" w:type="dxa"/>
            <w:bottom w:w="0" w:type="dxa"/>
          </w:tblCellMar>
        </w:tblPrEx>
        <w:trPr>
          <w:trHeight w:val="89"/>
        </w:trPr>
        <w:tc>
          <w:tcPr>
            <w:tcW w:w="3000" w:type="dxa"/>
            <w:gridSpan w:val="2"/>
            <w:tcBorders>
              <w:top w:val="nil"/>
              <w:left w:val="nil"/>
              <w:bottom w:val="single" w:sz="18" w:space="0" w:color="969696"/>
              <w:right w:val="single" w:sz="18" w:space="0" w:color="969696"/>
            </w:tcBorders>
            <w:shd w:val="pct75" w:color="000000" w:fill="969696"/>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3510" w:type="dxa"/>
            <w:tcBorders>
              <w:top w:val="nil"/>
              <w:left w:val="single" w:sz="18" w:space="0" w:color="969696"/>
              <w:bottom w:val="single" w:sz="18" w:space="0" w:color="969696"/>
              <w:right w:val="single" w:sz="18" w:space="0" w:color="969696"/>
            </w:tcBorders>
            <w:shd w:val="pct75" w:color="000000" w:fill="969696"/>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c>
          <w:tcPr>
            <w:tcW w:w="2790" w:type="dxa"/>
            <w:gridSpan w:val="2"/>
            <w:tcBorders>
              <w:top w:val="single" w:sz="18" w:space="0" w:color="969696"/>
              <w:left w:val="single" w:sz="18" w:space="0" w:color="969696"/>
              <w:bottom w:val="single" w:sz="18" w:space="0" w:color="969696"/>
              <w:right w:val="single" w:sz="18" w:space="0" w:color="969696"/>
            </w:tcBorders>
            <w:shd w:val="pct75" w:color="000000" w:fill="969696"/>
          </w:tcPr>
          <w:p w:rsidR="00553E91" w:rsidRPr="00E836C4" w:rsidRDefault="00553E91" w:rsidP="00E836C4">
            <w:pPr>
              <w:autoSpaceDE w:val="0"/>
              <w:autoSpaceDN w:val="0"/>
              <w:adjustRightInd w:val="0"/>
              <w:spacing w:after="0" w:line="480" w:lineRule="auto"/>
              <w:jc w:val="right"/>
              <w:rPr>
                <w:rFonts w:ascii="Times New Roman" w:hAnsi="Times New Roman" w:cs="Times New Roman"/>
                <w:color w:val="000000"/>
                <w:sz w:val="24"/>
                <w:szCs w:val="24"/>
              </w:rPr>
            </w:pPr>
          </w:p>
        </w:tc>
      </w:tr>
      <w:tr w:rsidR="00553E91" w:rsidRPr="00E836C4" w:rsidTr="00B578F9">
        <w:tblPrEx>
          <w:tblCellMar>
            <w:top w:w="0" w:type="dxa"/>
            <w:bottom w:w="0" w:type="dxa"/>
          </w:tblCellMar>
        </w:tblPrEx>
        <w:trPr>
          <w:trHeight w:val="89"/>
        </w:trPr>
        <w:tc>
          <w:tcPr>
            <w:tcW w:w="3000" w:type="dxa"/>
            <w:gridSpan w:val="2"/>
            <w:tcBorders>
              <w:top w:val="nil"/>
              <w:left w:val="nil"/>
              <w:bottom w:val="nil"/>
              <w:right w:val="nil"/>
            </w:tcBorders>
          </w:tcPr>
          <w:p w:rsidR="00553E91" w:rsidRPr="00E836C4" w:rsidRDefault="00553E91" w:rsidP="00E836C4">
            <w:pPr>
              <w:autoSpaceDE w:val="0"/>
              <w:autoSpaceDN w:val="0"/>
              <w:adjustRightInd w:val="0"/>
              <w:spacing w:after="0" w:line="480" w:lineRule="auto"/>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Total Costs</w:t>
            </w:r>
          </w:p>
        </w:tc>
        <w:tc>
          <w:tcPr>
            <w:tcW w:w="3510" w:type="dxa"/>
            <w:tcBorders>
              <w:top w:val="nil"/>
              <w:left w:val="nil"/>
              <w:bottom w:val="nil"/>
              <w:right w:val="nil"/>
            </w:tcBorders>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p>
        </w:tc>
        <w:tc>
          <w:tcPr>
            <w:tcW w:w="2790" w:type="dxa"/>
            <w:gridSpan w:val="2"/>
            <w:tcBorders>
              <w:top w:val="single" w:sz="18" w:space="0" w:color="969696"/>
              <w:left w:val="single" w:sz="18" w:space="0" w:color="969696"/>
              <w:bottom w:val="single" w:sz="18" w:space="0" w:color="969696"/>
              <w:right w:val="single" w:sz="18" w:space="0" w:color="969696"/>
            </w:tcBorders>
            <w:shd w:val="thinReverseDiagStripe" w:color="FFFFFF" w:fill="C0C0C0"/>
          </w:tcPr>
          <w:p w:rsidR="00553E91" w:rsidRPr="00E836C4" w:rsidRDefault="00553E91" w:rsidP="00E836C4">
            <w:pPr>
              <w:autoSpaceDE w:val="0"/>
              <w:autoSpaceDN w:val="0"/>
              <w:adjustRightInd w:val="0"/>
              <w:spacing w:after="0" w:line="480" w:lineRule="auto"/>
              <w:jc w:val="right"/>
              <w:rPr>
                <w:rFonts w:ascii="Times New Roman" w:hAnsi="Times New Roman" w:cs="Times New Roman"/>
                <w:b/>
                <w:bCs/>
                <w:color w:val="000000"/>
                <w:sz w:val="24"/>
                <w:szCs w:val="24"/>
              </w:rPr>
            </w:pPr>
            <w:r w:rsidRPr="00E836C4">
              <w:rPr>
                <w:rFonts w:ascii="Times New Roman" w:hAnsi="Times New Roman" w:cs="Times New Roman"/>
                <w:b/>
                <w:bCs/>
                <w:color w:val="000000"/>
                <w:sz w:val="24"/>
                <w:szCs w:val="24"/>
              </w:rPr>
              <w:t xml:space="preserve">$275,560.00 </w:t>
            </w:r>
          </w:p>
        </w:tc>
      </w:tr>
    </w:tbl>
    <w:p w:rsidR="00553E91" w:rsidRPr="00E836C4" w:rsidRDefault="00553E91" w:rsidP="00E836C4">
      <w:pPr>
        <w:spacing w:line="480" w:lineRule="auto"/>
        <w:ind w:firstLine="720"/>
        <w:rPr>
          <w:rFonts w:ascii="Times New Roman" w:hAnsi="Times New Roman" w:cs="Times New Roman"/>
          <w:b/>
          <w:sz w:val="24"/>
          <w:szCs w:val="24"/>
        </w:rPr>
      </w:pPr>
      <w:r w:rsidRPr="00E836C4">
        <w:rPr>
          <w:rFonts w:ascii="Times New Roman" w:hAnsi="Times New Roman" w:cs="Times New Roman"/>
          <w:sz w:val="24"/>
          <w:szCs w:val="24"/>
        </w:rPr>
        <w:t>The estimated cost is both short-term and long-term.</w:t>
      </w:r>
      <w:r w:rsidRPr="00E836C4">
        <w:rPr>
          <w:rFonts w:ascii="Times New Roman" w:hAnsi="Times New Roman" w:cs="Times New Roman"/>
          <w:b/>
          <w:sz w:val="24"/>
          <w:szCs w:val="24"/>
        </w:rPr>
        <w:t xml:space="preserve"> </w:t>
      </w:r>
      <w:r w:rsidRPr="00E836C4">
        <w:rPr>
          <w:rFonts w:ascii="Times New Roman" w:hAnsi="Times New Roman" w:cs="Times New Roman"/>
          <w:sz w:val="24"/>
          <w:szCs w:val="24"/>
        </w:rPr>
        <w:t>The short term-cost</w:t>
      </w:r>
      <w:r w:rsidRPr="00E836C4">
        <w:rPr>
          <w:rFonts w:ascii="Times New Roman" w:hAnsi="Times New Roman" w:cs="Times New Roman"/>
          <w:b/>
          <w:sz w:val="24"/>
          <w:szCs w:val="24"/>
        </w:rPr>
        <w:t xml:space="preserve"> </w:t>
      </w:r>
      <w:r w:rsidRPr="00E836C4">
        <w:rPr>
          <w:rFonts w:ascii="Times New Roman" w:hAnsi="Times New Roman" w:cs="Times New Roman"/>
          <w:sz w:val="24"/>
          <w:szCs w:val="24"/>
        </w:rPr>
        <w:t>includes cost for cameras and docking stations, peripheral equipment, storage, software, and the cameras</w:t>
      </w:r>
      <w:r w:rsidRPr="00E836C4">
        <w:rPr>
          <w:rFonts w:ascii="Times New Roman" w:hAnsi="Times New Roman" w:cs="Times New Roman"/>
          <w:b/>
          <w:sz w:val="24"/>
          <w:szCs w:val="24"/>
        </w:rPr>
        <w:t xml:space="preserve">. </w:t>
      </w:r>
      <w:r w:rsidR="00E7256A" w:rsidRPr="00E836C4">
        <w:rPr>
          <w:rFonts w:ascii="Times New Roman" w:hAnsi="Times New Roman" w:cs="Times New Roman"/>
          <w:sz w:val="24"/>
          <w:szCs w:val="24"/>
        </w:rPr>
        <w:t xml:space="preserve">The long-term cost includes cost for maintenance, information technology infrastructure, personnel, prosecution video transmission, and public information request. Overly, it is estimated that the </w:t>
      </w:r>
      <w:r w:rsidR="00E7256A" w:rsidRPr="00E836C4">
        <w:rPr>
          <w:rFonts w:ascii="Times New Roman" w:hAnsi="Times New Roman" w:cs="Times New Roman"/>
          <w:sz w:val="24"/>
          <w:szCs w:val="24"/>
        </w:rPr>
        <w:lastRenderedPageBreak/>
        <w:t xml:space="preserve">total cost will be around 275, 560 dollars. This estimated cost is for Oliver Police Department of Georgia State. </w:t>
      </w:r>
      <w:r w:rsidR="00E7256A" w:rsidRPr="00E836C4">
        <w:rPr>
          <w:rFonts w:ascii="Times New Roman" w:hAnsi="Times New Roman" w:cs="Times New Roman"/>
          <w:b/>
          <w:sz w:val="24"/>
          <w:szCs w:val="24"/>
        </w:rPr>
        <w:t xml:space="preserve"> </w:t>
      </w:r>
      <w:r w:rsidRPr="00E836C4">
        <w:rPr>
          <w:rFonts w:ascii="Times New Roman" w:hAnsi="Times New Roman" w:cs="Times New Roman"/>
          <w:b/>
          <w:sz w:val="24"/>
          <w:szCs w:val="24"/>
        </w:rPr>
        <w:t xml:space="preserve">  </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Strategic Plan for Implementation</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Some of the objectives that justify the adoption of body-worn cameras among the police include increasing transparency, accuracy, and reliability of the information on police/public interaction, develop a system that provides audio and video technologies to be worn by uniformed officers, develop a digital data management system to secure collected information, and develop and implement strong policies to ensure proper and credible use of body-worn cameras (BWCs). Including community and advocacy organizations in the planning and policy development phases of BWC programs has positive results. Notably, it will enhance public perceptions of transparency and aid in the resolution of controversial issues concerning privacy, activation, and review of footage. Meanwhile, there are concerns about police filming of vulnerable and sensitive populations – juveniles, people in distress, domestic violence situations, and child molestation and child sexual assault cases (Taylor &amp; Lee, 2019). </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Also, to facilitate the effective implementation and adoption of BWCs among the police, there is a need to identify and solicit input from all stakeholders, develop policy that addresses legal and privacy, identify and contract appropriate vendors to supply required resources, train officers on the usage of BWC, and roll out the program in phases. The initiation phase will involve establishing an executive management team, identifying key stakeholders, researching BWC technology, developing a project charter, and approval of project charter by the mayor. Without sound and collaboratively developed policies BWCs will likely cause more problems than they resolve. We should take caution to collaborate with stakeholders that everyone </w:t>
      </w:r>
      <w:r w:rsidRPr="00E836C4">
        <w:rPr>
          <w:rFonts w:ascii="Times New Roman" w:hAnsi="Times New Roman" w:cs="Times New Roman"/>
          <w:sz w:val="24"/>
          <w:szCs w:val="24"/>
        </w:rPr>
        <w:lastRenderedPageBreak/>
        <w:t xml:space="preserve">understands (Bureau of Justice Assistance 2020). BWC policies should also provide specific instructions on when activation, usage, and adoption. We will not mandate recording of all situations due to privacy concerns. In this regard, we should have a sound policy, adequate training, continuous supervision, and community education and buy-in (Kalle &amp; Hammock, 2020). </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The planning phase will involve activities, such as developing risk plans, budget (capital &amp; operating cost), forming a policy development team, outlining implementation schedule, and communicating the plan to stakeholders. Generally, we should have a comprehensive planning process in place to guide policy development and BWC implementation. I shall oversee a multidisciplinary working group comprising of representatives from IT, advocacy groups, community stakeholders, local government, and prosecution (Wright &amp; Brown, 2020). Planning should note that storage of data is costly when packed with services for redaction, data sharing, data management, and software and hardware upgrades (Taylor &amp; Lee, 2019). We must be realistic about costs. There are one-time costs like purchasing cameras and related equipment. Also, take note of storage costs and equipment upgrades, and replacement. A good vendor contract should help to offset these burdens. </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The implementation phase will involve the delivery of training, deployment of cameras, implementation of control measures on privacy, data collection plan for independent project evaluation, and the implementation of a data management system. This will happen in phases beginning with a control program to see how officers perform. Feedback from the officers and the public will be critical before the full rollout to have a useful program.  The phased rollout is crucial to examine emerging issues in BWC practice and implementation. Storage of BWC data and footage is an ongoing concern. Generally, we should expect storage costs to fall with </w:t>
      </w:r>
      <w:r w:rsidRPr="00E836C4">
        <w:rPr>
          <w:rFonts w:ascii="Times New Roman" w:hAnsi="Times New Roman" w:cs="Times New Roman"/>
          <w:sz w:val="24"/>
          <w:szCs w:val="24"/>
        </w:rPr>
        <w:lastRenderedPageBreak/>
        <w:t>technology improvements such as cloud storage. Hybrid storage systems will also come in handy.</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Congruence with ASPA's Code of Ethics</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The implementation of police body cameras has raised several ethical and social concerns while other stakeholders are concerned whether this technology is congruent with ASPA's Code of Ethics. The American Society for Public Administration (ASPA) has been highly committed to ensuring compliance with ethical standards by all public servants. The Code of Ethics highlights the principles that all public servants are supposed to uphold while discharging their public duties. Some of the principles highlighted in this document include advancing the interest of the public, upholding the constitution, solidifying social equity, demonstrating individual integrity, and promoting ethical organizations (King et al., 2019). However, the use of police body cameras has raised several ethical and social concerns, such as privacy, community involvement, bias in video evidence, manipulation, modification, and misrepresentation of video footage, and procedural justice and legitimacy.       </w:t>
      </w:r>
    </w:p>
    <w:p w:rsidR="00E51785" w:rsidRPr="00E836C4" w:rsidRDefault="000D526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b/>
          <w:sz w:val="24"/>
          <w:szCs w:val="24"/>
        </w:rPr>
        <w:t>Privacy</w:t>
      </w:r>
      <w:r w:rsidRPr="00E836C4">
        <w:rPr>
          <w:rFonts w:ascii="Times New Roman" w:hAnsi="Times New Roman" w:cs="Times New Roman"/>
          <w:sz w:val="24"/>
          <w:szCs w:val="24"/>
        </w:rPr>
        <w:t>:</w:t>
      </w:r>
      <w:r w:rsidR="00E51785" w:rsidRPr="00E836C4">
        <w:rPr>
          <w:rFonts w:ascii="Times New Roman" w:hAnsi="Times New Roman" w:cs="Times New Roman"/>
          <w:sz w:val="24"/>
          <w:szCs w:val="24"/>
        </w:rPr>
        <w:t xml:space="preserve"> There are concerns that recording citizens without their consent infringes on their privacy. Notably, the right to privacy is constitutional, and therefore its infringement is not guaranteed. The recording of citizens violates their right to privacy that is guaranteed in the Fourth Amendment. These cameras record private communication, individual property, and other private issues of citizens without a warrant, and therefore they are perceived to infringe people's right to privacy. Consequently, there should be clearly defined regulations on recording, storage, sharing, and usage of police recordings, especially of victims of sexual abuse and other </w:t>
      </w:r>
      <w:r w:rsidR="00E51785" w:rsidRPr="00E836C4">
        <w:rPr>
          <w:rFonts w:ascii="Times New Roman" w:hAnsi="Times New Roman" w:cs="Times New Roman"/>
          <w:sz w:val="24"/>
          <w:szCs w:val="24"/>
        </w:rPr>
        <w:lastRenderedPageBreak/>
        <w:t xml:space="preserve">vulnerable people (Hodge Jr &amp; Ortiz, 2021). Without a clear policy on these issues may draw resistance from interest groups and subject police departments to lawsuits. </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b/>
          <w:sz w:val="24"/>
          <w:szCs w:val="24"/>
        </w:rPr>
        <w:t>Community Involvement</w:t>
      </w:r>
      <w:r w:rsidRPr="00E836C4">
        <w:rPr>
          <w:rFonts w:ascii="Times New Roman" w:hAnsi="Times New Roman" w:cs="Times New Roman"/>
          <w:sz w:val="24"/>
          <w:szCs w:val="24"/>
        </w:rPr>
        <w:t xml:space="preserve">: The success of BWC programs requires engagement with the community in supporting what the police are doing. Otherwise, the high level of strained relationships between local communities and the police will hinder the success of such programs in combating crime (Kalle &amp; Hammock, 2019). </w:t>
      </w:r>
    </w:p>
    <w:p w:rsidR="00E51785" w:rsidRPr="00E836C4" w:rsidRDefault="000D526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b/>
          <w:sz w:val="24"/>
          <w:szCs w:val="24"/>
        </w:rPr>
        <w:t>Bias in Video E</w:t>
      </w:r>
      <w:r w:rsidR="00E51785" w:rsidRPr="00E836C4">
        <w:rPr>
          <w:rFonts w:ascii="Times New Roman" w:hAnsi="Times New Roman" w:cs="Times New Roman"/>
          <w:b/>
          <w:sz w:val="24"/>
          <w:szCs w:val="24"/>
        </w:rPr>
        <w:t>vidence</w:t>
      </w:r>
      <w:r w:rsidR="00E51785" w:rsidRPr="00E836C4">
        <w:rPr>
          <w:rFonts w:ascii="Times New Roman" w:hAnsi="Times New Roman" w:cs="Times New Roman"/>
          <w:sz w:val="24"/>
          <w:szCs w:val="24"/>
        </w:rPr>
        <w:t xml:space="preserve">:  Body cameras solely focus on the suspect and may create a perception of bias by making suspects look guilty by default (Kalle &amp; Hammock, 2019). There are concerns that such evidence, when used in court, leads the jury to make decisions without fully understanding a situation. </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b/>
          <w:sz w:val="24"/>
          <w:szCs w:val="24"/>
        </w:rPr>
        <w:t>Manipulation, Modification, and Misrepresentation of video footage</w:t>
      </w:r>
      <w:r w:rsidRPr="00E836C4">
        <w:rPr>
          <w:rFonts w:ascii="Times New Roman" w:hAnsi="Times New Roman" w:cs="Times New Roman"/>
          <w:sz w:val="24"/>
          <w:szCs w:val="24"/>
        </w:rPr>
        <w:t xml:space="preserve">: Advancements in technology support the modification and manipulation of video footage, including editing to delete or add new footage (Taylor &amp; Lee, 2019). There are concerns that unscrupulous police may use such methods to misrepresent real occurrences to favor their positive outcomes. This ethical concern violates the ethical principle of demonstrating individual integrity. Notably, the police should practice high standards of integrity and honesty to inspire trust as well as confidence from the public. Therefore, when police officers manipulate, modify, and misinterpret video footage, they are trying to be unethical, which violates the Code of Ethics by ASPA.   </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b/>
          <w:sz w:val="24"/>
          <w:szCs w:val="24"/>
        </w:rPr>
        <w:t>Procedural Justice and Legitimacy</w:t>
      </w:r>
      <w:r w:rsidRPr="00E836C4">
        <w:rPr>
          <w:rFonts w:ascii="Times New Roman" w:hAnsi="Times New Roman" w:cs="Times New Roman"/>
          <w:sz w:val="24"/>
          <w:szCs w:val="24"/>
        </w:rPr>
        <w:t xml:space="preserve">: An ethical issue arises on whether police should use hidden body cameras and whether information gathered from such should be admissible in </w:t>
      </w:r>
      <w:r w:rsidRPr="00E836C4">
        <w:rPr>
          <w:rFonts w:ascii="Times New Roman" w:hAnsi="Times New Roman" w:cs="Times New Roman"/>
          <w:sz w:val="24"/>
          <w:szCs w:val="24"/>
        </w:rPr>
        <w:lastRenderedPageBreak/>
        <w:t xml:space="preserve">court. Procedural justice and legitimacy require the use of known and controlled methods of investigation to reduce abuse and manipulation of such procedures (St. Louis et al., 2019). </w:t>
      </w:r>
    </w:p>
    <w:p w:rsidR="00E51785" w:rsidRPr="00E836C4" w:rsidRDefault="000D526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b/>
          <w:sz w:val="24"/>
          <w:szCs w:val="24"/>
        </w:rPr>
        <w:t>Democratic P</w:t>
      </w:r>
      <w:r w:rsidR="00E51785" w:rsidRPr="00E836C4">
        <w:rPr>
          <w:rFonts w:ascii="Times New Roman" w:hAnsi="Times New Roman" w:cs="Times New Roman"/>
          <w:b/>
          <w:sz w:val="24"/>
          <w:szCs w:val="24"/>
        </w:rPr>
        <w:t>articipation</w:t>
      </w:r>
      <w:r w:rsidR="00E51785" w:rsidRPr="00E836C4">
        <w:rPr>
          <w:rFonts w:ascii="Times New Roman" w:hAnsi="Times New Roman" w:cs="Times New Roman"/>
          <w:sz w:val="24"/>
          <w:szCs w:val="24"/>
        </w:rPr>
        <w:t xml:space="preserve">: ASPA holds that public servants should ensure that the public is well informed and promote active engagement through good governance. All public servants should promote openness and transparency when dealing with the public. However, there is an ethical concern of whether the police practice democracy when they record public servants who fail to consent to this act. Based on the principle of democracy, they have the right to consent or fail to consent in matters that may involve disclosing their personal information. The behavior of the police wearing body cameras in their interactions with the public seems to disregard the democratic voice of the public under certain circumstances (Melony, 2016).      </w:t>
      </w:r>
    </w:p>
    <w:p w:rsidR="00E51785" w:rsidRPr="00E836C4" w:rsidRDefault="00E51785" w:rsidP="00E836C4">
      <w:pPr>
        <w:spacing w:line="480" w:lineRule="auto"/>
        <w:jc w:val="center"/>
        <w:rPr>
          <w:rFonts w:ascii="Times New Roman" w:hAnsi="Times New Roman" w:cs="Times New Roman"/>
          <w:b/>
          <w:sz w:val="24"/>
          <w:szCs w:val="24"/>
        </w:rPr>
      </w:pPr>
      <w:r w:rsidRPr="00E836C4">
        <w:rPr>
          <w:rFonts w:ascii="Times New Roman" w:hAnsi="Times New Roman" w:cs="Times New Roman"/>
          <w:b/>
          <w:sz w:val="24"/>
          <w:szCs w:val="24"/>
        </w:rPr>
        <w:t>Conclusion</w:t>
      </w:r>
    </w:p>
    <w:p w:rsidR="00E51785"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t xml:space="preserve">In summation, the police-worn body camera is a modern technology aspect that entails mounting the cameras on the chest area or eyeglasses of an officer on patrol, thereby offering accurate time information. The widespread call for police reforms across the world has seen several inventions emerge in the police department. Such inventions have been initiated following the urge to hold the officers accountable and boost the department's transparency. One of the solutions to the issues surrounding the use of body cameras among the police includes the formulation of policies that ensure that the body-worn cameras preserve the citizens' right to privacy. Notably, previous studies have shown that unregulated use of body-worn cameras leads to the invention of people's privacy. Other solutions are educating the law enforcement officers on precautionary and safety measures that they should uphold to preserve their mental health and their physical health on how to use the cameras effectively. </w:t>
      </w:r>
    </w:p>
    <w:p w:rsidR="00E7256A" w:rsidRPr="00E836C4" w:rsidRDefault="00E51785" w:rsidP="00E836C4">
      <w:pPr>
        <w:spacing w:line="480" w:lineRule="auto"/>
        <w:ind w:firstLine="720"/>
        <w:rPr>
          <w:rFonts w:ascii="Times New Roman" w:hAnsi="Times New Roman" w:cs="Times New Roman"/>
          <w:sz w:val="24"/>
          <w:szCs w:val="24"/>
        </w:rPr>
      </w:pPr>
      <w:r w:rsidRPr="00E836C4">
        <w:rPr>
          <w:rFonts w:ascii="Times New Roman" w:hAnsi="Times New Roman" w:cs="Times New Roman"/>
          <w:sz w:val="24"/>
          <w:szCs w:val="24"/>
        </w:rPr>
        <w:lastRenderedPageBreak/>
        <w:t xml:space="preserve">Some of the key political considerations surrounding the use of body cameras among the police include privacy concerns and civil liberties, and legal boundaries. The economic considerations include the exorbitant budget of securing the cameras and economic unreliability. Some of the social considerations are the safety of the police officers and the health of the police. The implementation plan of body cameras among the police encompasses the delivery of training services to the police and the civilians, deployment of cameras, implementation of control measures on privacy, data collection plan for independent project evaluation, and the implementation of a data management system. The implementation of police body cameras has raised several ethical and social concerns while other stakeholders are concerned whether this technology is congruent with ASPA's Code of Ethics. Specifically, the use of police body cameras has raised several ethical and social concerns, such as privacy, community involvement, bias in video evidence, manipulation, modification, and misrepresentation of video footage, and procedural justice and legitimacy.  </w:t>
      </w:r>
    </w:p>
    <w:p w:rsidR="00E836C4" w:rsidRDefault="00E836C4" w:rsidP="00E836C4">
      <w:pPr>
        <w:spacing w:line="480" w:lineRule="auto"/>
        <w:jc w:val="center"/>
        <w:rPr>
          <w:rFonts w:ascii="Times New Roman" w:hAnsi="Times New Roman" w:cs="Times New Roman"/>
          <w:b/>
          <w:sz w:val="24"/>
          <w:szCs w:val="24"/>
        </w:rPr>
      </w:pPr>
    </w:p>
    <w:p w:rsidR="00E836C4" w:rsidRDefault="00E836C4" w:rsidP="00E836C4">
      <w:pPr>
        <w:spacing w:line="480" w:lineRule="auto"/>
        <w:jc w:val="center"/>
        <w:rPr>
          <w:rFonts w:ascii="Times New Roman" w:hAnsi="Times New Roman" w:cs="Times New Roman"/>
          <w:b/>
          <w:sz w:val="24"/>
          <w:szCs w:val="24"/>
        </w:rPr>
      </w:pPr>
    </w:p>
    <w:p w:rsidR="00E836C4" w:rsidRDefault="00E836C4" w:rsidP="00E836C4">
      <w:pPr>
        <w:spacing w:line="480" w:lineRule="auto"/>
        <w:jc w:val="center"/>
        <w:rPr>
          <w:rFonts w:ascii="Times New Roman" w:hAnsi="Times New Roman" w:cs="Times New Roman"/>
          <w:b/>
          <w:sz w:val="24"/>
          <w:szCs w:val="24"/>
        </w:rPr>
      </w:pPr>
    </w:p>
    <w:p w:rsidR="00E836C4" w:rsidRDefault="00E836C4" w:rsidP="00E836C4">
      <w:pPr>
        <w:spacing w:line="480" w:lineRule="auto"/>
        <w:jc w:val="center"/>
        <w:rPr>
          <w:rFonts w:ascii="Times New Roman" w:hAnsi="Times New Roman" w:cs="Times New Roman"/>
          <w:b/>
          <w:sz w:val="24"/>
          <w:szCs w:val="24"/>
        </w:rPr>
      </w:pPr>
    </w:p>
    <w:p w:rsidR="00E836C4" w:rsidRDefault="00E836C4" w:rsidP="00E836C4">
      <w:pPr>
        <w:spacing w:line="480" w:lineRule="auto"/>
        <w:jc w:val="center"/>
        <w:rPr>
          <w:rFonts w:ascii="Times New Roman" w:hAnsi="Times New Roman" w:cs="Times New Roman"/>
          <w:b/>
          <w:sz w:val="24"/>
          <w:szCs w:val="24"/>
        </w:rPr>
      </w:pPr>
    </w:p>
    <w:p w:rsidR="00E836C4" w:rsidRDefault="00E836C4" w:rsidP="00E836C4">
      <w:pPr>
        <w:spacing w:line="480" w:lineRule="auto"/>
        <w:jc w:val="center"/>
        <w:rPr>
          <w:rFonts w:ascii="Times New Roman" w:hAnsi="Times New Roman" w:cs="Times New Roman"/>
          <w:b/>
          <w:sz w:val="24"/>
          <w:szCs w:val="24"/>
        </w:rPr>
      </w:pPr>
    </w:p>
    <w:p w:rsidR="00E836C4" w:rsidRDefault="00E836C4" w:rsidP="00E836C4">
      <w:pPr>
        <w:spacing w:line="480" w:lineRule="auto"/>
        <w:jc w:val="center"/>
        <w:rPr>
          <w:rFonts w:ascii="Times New Roman" w:hAnsi="Times New Roman" w:cs="Times New Roman"/>
          <w:b/>
          <w:sz w:val="24"/>
          <w:szCs w:val="24"/>
        </w:rPr>
      </w:pPr>
    </w:p>
    <w:p w:rsidR="00E836C4" w:rsidRDefault="00E836C4" w:rsidP="00E836C4">
      <w:pPr>
        <w:spacing w:line="480" w:lineRule="auto"/>
        <w:jc w:val="center"/>
        <w:rPr>
          <w:rFonts w:ascii="Times New Roman" w:hAnsi="Times New Roman" w:cs="Times New Roman"/>
          <w:b/>
          <w:sz w:val="24"/>
          <w:szCs w:val="24"/>
        </w:rPr>
      </w:pPr>
    </w:p>
    <w:p w:rsidR="00E7256A" w:rsidRPr="00E836C4" w:rsidRDefault="00E7256A" w:rsidP="00E836C4">
      <w:pPr>
        <w:spacing w:line="480" w:lineRule="auto"/>
        <w:jc w:val="center"/>
        <w:rPr>
          <w:rFonts w:ascii="Times New Roman" w:hAnsi="Times New Roman" w:cs="Times New Roman"/>
          <w:b/>
          <w:sz w:val="24"/>
          <w:szCs w:val="24"/>
        </w:rPr>
      </w:pPr>
      <w:bookmarkStart w:id="0" w:name="_GoBack"/>
      <w:bookmarkEnd w:id="0"/>
      <w:r w:rsidRPr="00E836C4">
        <w:rPr>
          <w:rFonts w:ascii="Times New Roman" w:hAnsi="Times New Roman" w:cs="Times New Roman"/>
          <w:b/>
          <w:sz w:val="24"/>
          <w:szCs w:val="24"/>
        </w:rPr>
        <w:lastRenderedPageBreak/>
        <w:t>References</w:t>
      </w:r>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color w:val="222222"/>
          <w:sz w:val="24"/>
          <w:szCs w:val="24"/>
          <w:shd w:val="clear" w:color="auto" w:fill="FFFFFF"/>
        </w:rPr>
        <w:t>Ariel, B., Sutherland, A., Henstock, D., Young, J., Drover, P., Sykes, J., ... &amp; Henderson, R. (2016). Wearing body cameras increases assaults against officers and does not reduce police use of force: Results from a global multi-site experiment. </w:t>
      </w:r>
      <w:r w:rsidRPr="00E836C4">
        <w:rPr>
          <w:rFonts w:ascii="Times New Roman" w:hAnsi="Times New Roman" w:cs="Times New Roman"/>
          <w:i/>
          <w:iCs/>
          <w:color w:val="222222"/>
          <w:sz w:val="24"/>
          <w:szCs w:val="24"/>
          <w:shd w:val="clear" w:color="auto" w:fill="FFFFFF"/>
        </w:rPr>
        <w:t>European journal of criminology</w:t>
      </w:r>
      <w:r w:rsidRPr="00E836C4">
        <w:rPr>
          <w:rFonts w:ascii="Times New Roman" w:hAnsi="Times New Roman" w:cs="Times New Roman"/>
          <w:color w:val="222222"/>
          <w:sz w:val="24"/>
          <w:szCs w:val="24"/>
          <w:shd w:val="clear" w:color="auto" w:fill="FFFFFF"/>
        </w:rPr>
        <w:t>, </w:t>
      </w:r>
      <w:r w:rsidRPr="00E836C4">
        <w:rPr>
          <w:rFonts w:ascii="Times New Roman" w:hAnsi="Times New Roman" w:cs="Times New Roman"/>
          <w:i/>
          <w:iCs/>
          <w:color w:val="222222"/>
          <w:sz w:val="24"/>
          <w:szCs w:val="24"/>
          <w:shd w:val="clear" w:color="auto" w:fill="FFFFFF"/>
        </w:rPr>
        <w:t>13</w:t>
      </w:r>
      <w:r w:rsidRPr="00E836C4">
        <w:rPr>
          <w:rFonts w:ascii="Times New Roman" w:hAnsi="Times New Roman" w:cs="Times New Roman"/>
          <w:color w:val="222222"/>
          <w:sz w:val="24"/>
          <w:szCs w:val="24"/>
          <w:shd w:val="clear" w:color="auto" w:fill="FFFFFF"/>
        </w:rPr>
        <w:t>(6), 744-755.</w:t>
      </w:r>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sz w:val="24"/>
          <w:szCs w:val="24"/>
        </w:rPr>
        <w:t xml:space="preserve">Bureau of Justice Assistance (2020). Body-Worn Cameras (BWCs). U.S Department of Justice. </w:t>
      </w:r>
      <w:hyperlink r:id="rId9" w:history="1">
        <w:r w:rsidRPr="00E836C4">
          <w:rPr>
            <w:rStyle w:val="Hyperlink"/>
            <w:rFonts w:ascii="Times New Roman" w:hAnsi="Times New Roman" w:cs="Times New Roman"/>
            <w:sz w:val="24"/>
            <w:szCs w:val="24"/>
          </w:rPr>
          <w:t>https://bja.ojp.gov/program/body-worn-cameras-bwcs/overview</w:t>
        </w:r>
      </w:hyperlink>
      <w:r w:rsidRPr="00E836C4">
        <w:rPr>
          <w:rFonts w:ascii="Times New Roman" w:hAnsi="Times New Roman" w:cs="Times New Roman"/>
          <w:sz w:val="24"/>
          <w:szCs w:val="24"/>
        </w:rPr>
        <w:t xml:space="preserve"> </w:t>
      </w:r>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color w:val="222222"/>
          <w:sz w:val="24"/>
          <w:szCs w:val="24"/>
          <w:shd w:val="clear" w:color="auto" w:fill="FFFFFF"/>
        </w:rPr>
        <w:t xml:space="preserve">Cagle, L. (2019, October 11). “California just blocked police body cam use of face recognition.”  </w:t>
      </w:r>
      <w:r w:rsidRPr="00E836C4">
        <w:rPr>
          <w:rFonts w:ascii="Times New Roman" w:hAnsi="Times New Roman" w:cs="Times New Roman"/>
          <w:i/>
          <w:color w:val="222222"/>
          <w:sz w:val="24"/>
          <w:szCs w:val="24"/>
          <w:shd w:val="clear" w:color="auto" w:fill="FFFFFF"/>
        </w:rPr>
        <w:t xml:space="preserve">ACLU </w:t>
      </w:r>
      <w:r w:rsidRPr="00E836C4">
        <w:rPr>
          <w:rFonts w:ascii="Times New Roman" w:hAnsi="Times New Roman" w:cs="Times New Roman"/>
          <w:color w:val="222222"/>
          <w:sz w:val="24"/>
          <w:szCs w:val="24"/>
          <w:shd w:val="clear" w:color="auto" w:fill="FFFFFF"/>
        </w:rPr>
        <w:t xml:space="preserve">(online). </w:t>
      </w:r>
      <w:hyperlink r:id="rId10" w:history="1">
        <w:r w:rsidRPr="00E836C4">
          <w:rPr>
            <w:rStyle w:val="Hyperlink"/>
            <w:rFonts w:ascii="Times New Roman" w:hAnsi="Times New Roman" w:cs="Times New Roman"/>
            <w:sz w:val="24"/>
            <w:szCs w:val="24"/>
            <w:shd w:val="clear" w:color="auto" w:fill="FFFFFF"/>
          </w:rPr>
          <w:t>https://www.aclu.org/blog/privacy-technology/surveillance-technologies/california-just-blocked-police-body-cam-use-face</w:t>
        </w:r>
      </w:hyperlink>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sz w:val="24"/>
          <w:szCs w:val="24"/>
        </w:rPr>
        <w:t>Fan, M. D. (2018). Body cameras, big data, and police accountability. </w:t>
      </w:r>
      <w:r w:rsidRPr="00E836C4">
        <w:rPr>
          <w:rFonts w:ascii="Times New Roman" w:hAnsi="Times New Roman" w:cs="Times New Roman"/>
          <w:i/>
          <w:iCs/>
          <w:sz w:val="24"/>
          <w:szCs w:val="24"/>
        </w:rPr>
        <w:t>Law &amp; social inquiry</w:t>
      </w:r>
      <w:r w:rsidRPr="00E836C4">
        <w:rPr>
          <w:rFonts w:ascii="Times New Roman" w:hAnsi="Times New Roman" w:cs="Times New Roman"/>
          <w:sz w:val="24"/>
          <w:szCs w:val="24"/>
        </w:rPr>
        <w:t>, </w:t>
      </w:r>
      <w:r w:rsidRPr="00E836C4">
        <w:rPr>
          <w:rFonts w:ascii="Times New Roman" w:hAnsi="Times New Roman" w:cs="Times New Roman"/>
          <w:i/>
          <w:iCs/>
          <w:sz w:val="24"/>
          <w:szCs w:val="24"/>
        </w:rPr>
        <w:t>43</w:t>
      </w:r>
      <w:r w:rsidRPr="00E836C4">
        <w:rPr>
          <w:rFonts w:ascii="Times New Roman" w:hAnsi="Times New Roman" w:cs="Times New Roman"/>
          <w:sz w:val="24"/>
          <w:szCs w:val="24"/>
        </w:rPr>
        <w:t>(4), 1236-1256.</w:t>
      </w:r>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sz w:val="24"/>
          <w:szCs w:val="24"/>
        </w:rPr>
        <w:t>Hodge Jr, S. D., &amp; Ortiz, R. (2021). Police body cameras - A lesson in objectivity and accountability or a tool without a scientific basis? </w:t>
      </w:r>
      <w:r w:rsidRPr="00E836C4">
        <w:rPr>
          <w:rFonts w:ascii="Times New Roman" w:hAnsi="Times New Roman" w:cs="Times New Roman"/>
          <w:i/>
          <w:iCs/>
          <w:sz w:val="24"/>
          <w:szCs w:val="24"/>
        </w:rPr>
        <w:t>Richmond Journal of Law &amp; Technology</w:t>
      </w:r>
      <w:r w:rsidRPr="00E836C4">
        <w:rPr>
          <w:rFonts w:ascii="Times New Roman" w:hAnsi="Times New Roman" w:cs="Times New Roman"/>
          <w:sz w:val="24"/>
          <w:szCs w:val="24"/>
        </w:rPr>
        <w:t>, </w:t>
      </w:r>
      <w:r w:rsidRPr="00E836C4">
        <w:rPr>
          <w:rFonts w:ascii="Times New Roman" w:hAnsi="Times New Roman" w:cs="Times New Roman"/>
          <w:i/>
          <w:iCs/>
          <w:sz w:val="24"/>
          <w:szCs w:val="24"/>
        </w:rPr>
        <w:t>27</w:t>
      </w:r>
      <w:r w:rsidRPr="00E836C4">
        <w:rPr>
          <w:rFonts w:ascii="Times New Roman" w:hAnsi="Times New Roman" w:cs="Times New Roman"/>
          <w:sz w:val="24"/>
          <w:szCs w:val="24"/>
        </w:rPr>
        <w:t>(2), 1–51.</w:t>
      </w:r>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color w:val="222222"/>
          <w:sz w:val="24"/>
          <w:szCs w:val="24"/>
          <w:shd w:val="clear" w:color="auto" w:fill="FFFFFF"/>
        </w:rPr>
        <w:t>Hood, J. (2020). Making the body electric: The politics of body-worn cameras and facial recognition in the United States. </w:t>
      </w:r>
      <w:r w:rsidRPr="00E836C4">
        <w:rPr>
          <w:rFonts w:ascii="Times New Roman" w:hAnsi="Times New Roman" w:cs="Times New Roman"/>
          <w:i/>
          <w:iCs/>
          <w:color w:val="222222"/>
          <w:sz w:val="24"/>
          <w:szCs w:val="24"/>
          <w:shd w:val="clear" w:color="auto" w:fill="FFFFFF"/>
        </w:rPr>
        <w:t>Surveillance &amp; Society</w:t>
      </w:r>
      <w:r w:rsidRPr="00E836C4">
        <w:rPr>
          <w:rFonts w:ascii="Times New Roman" w:hAnsi="Times New Roman" w:cs="Times New Roman"/>
          <w:color w:val="222222"/>
          <w:sz w:val="24"/>
          <w:szCs w:val="24"/>
          <w:shd w:val="clear" w:color="auto" w:fill="FFFFFF"/>
        </w:rPr>
        <w:t>, </w:t>
      </w:r>
      <w:r w:rsidRPr="00E836C4">
        <w:rPr>
          <w:rFonts w:ascii="Times New Roman" w:hAnsi="Times New Roman" w:cs="Times New Roman"/>
          <w:i/>
          <w:iCs/>
          <w:color w:val="222222"/>
          <w:sz w:val="24"/>
          <w:szCs w:val="24"/>
          <w:shd w:val="clear" w:color="auto" w:fill="FFFFFF"/>
        </w:rPr>
        <w:t>18</w:t>
      </w:r>
      <w:r w:rsidRPr="00E836C4">
        <w:rPr>
          <w:rFonts w:ascii="Times New Roman" w:hAnsi="Times New Roman" w:cs="Times New Roman"/>
          <w:color w:val="222222"/>
          <w:sz w:val="24"/>
          <w:szCs w:val="24"/>
          <w:shd w:val="clear" w:color="auto" w:fill="FFFFFF"/>
        </w:rPr>
        <w:t>(2), 157-169.</w:t>
      </w:r>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sz w:val="24"/>
          <w:szCs w:val="24"/>
        </w:rPr>
        <w:t>Kalle, A., &amp; Hammock, G. (2019). Bias in video evidence: Implications for police body cameras. </w:t>
      </w:r>
      <w:r w:rsidRPr="00E836C4">
        <w:rPr>
          <w:rFonts w:ascii="Times New Roman" w:hAnsi="Times New Roman" w:cs="Times New Roman"/>
          <w:i/>
          <w:iCs/>
          <w:sz w:val="24"/>
          <w:szCs w:val="24"/>
        </w:rPr>
        <w:t>Applied Psychology in Criminal Justice</w:t>
      </w:r>
      <w:r w:rsidRPr="00E836C4">
        <w:rPr>
          <w:rFonts w:ascii="Times New Roman" w:hAnsi="Times New Roman" w:cs="Times New Roman"/>
          <w:sz w:val="24"/>
          <w:szCs w:val="24"/>
        </w:rPr>
        <w:t>, </w:t>
      </w:r>
      <w:r w:rsidRPr="00E836C4">
        <w:rPr>
          <w:rFonts w:ascii="Times New Roman" w:hAnsi="Times New Roman" w:cs="Times New Roman"/>
          <w:i/>
          <w:iCs/>
          <w:sz w:val="24"/>
          <w:szCs w:val="24"/>
        </w:rPr>
        <w:t>15</w:t>
      </w:r>
      <w:r w:rsidRPr="00E836C4">
        <w:rPr>
          <w:rFonts w:ascii="Times New Roman" w:hAnsi="Times New Roman" w:cs="Times New Roman"/>
          <w:sz w:val="24"/>
          <w:szCs w:val="24"/>
        </w:rPr>
        <w:t>(2), 118–140.</w:t>
      </w:r>
    </w:p>
    <w:p w:rsidR="00E836C4" w:rsidRPr="00E836C4" w:rsidRDefault="00E836C4" w:rsidP="00E836C4">
      <w:pPr>
        <w:spacing w:line="480" w:lineRule="auto"/>
        <w:ind w:left="720" w:hanging="720"/>
        <w:rPr>
          <w:rFonts w:ascii="Times New Roman" w:hAnsi="Times New Roman" w:cs="Times New Roman"/>
          <w:b/>
          <w:sz w:val="24"/>
          <w:szCs w:val="24"/>
        </w:rPr>
      </w:pPr>
      <w:r w:rsidRPr="00817AA1">
        <w:rPr>
          <w:rFonts w:ascii="Times New Roman" w:eastAsia="Times New Roman" w:hAnsi="Times New Roman" w:cs="Times New Roman"/>
          <w:sz w:val="24"/>
          <w:szCs w:val="24"/>
        </w:rPr>
        <w:lastRenderedPageBreak/>
        <w:t xml:space="preserve">King, S. M., Agyapong, E., &amp; Roberts, G. (2019). ASPA code of ethics as a framework for teaching ethics in public affairs and administration: A conceptual content analysis of MPA ethics course syllabi. </w:t>
      </w:r>
      <w:r w:rsidRPr="00817AA1">
        <w:rPr>
          <w:rFonts w:ascii="Times New Roman" w:eastAsia="Times New Roman" w:hAnsi="Times New Roman" w:cs="Times New Roman"/>
          <w:i/>
          <w:iCs/>
          <w:sz w:val="24"/>
          <w:szCs w:val="24"/>
        </w:rPr>
        <w:t>Journal of Public Affairs Education</w:t>
      </w:r>
      <w:r w:rsidRPr="00817AA1">
        <w:rPr>
          <w:rFonts w:ascii="Times New Roman" w:eastAsia="Times New Roman" w:hAnsi="Times New Roman" w:cs="Times New Roman"/>
          <w:sz w:val="24"/>
          <w:szCs w:val="24"/>
        </w:rPr>
        <w:t>, 1-22.</w:t>
      </w:r>
    </w:p>
    <w:p w:rsidR="00E836C4" w:rsidRPr="00E836C4" w:rsidRDefault="00E836C4" w:rsidP="00E836C4">
      <w:pPr>
        <w:spacing w:line="480" w:lineRule="auto"/>
        <w:ind w:left="720" w:hanging="720"/>
        <w:rPr>
          <w:rStyle w:val="markedcontent"/>
          <w:rFonts w:ascii="Times New Roman" w:hAnsi="Times New Roman" w:cs="Times New Roman"/>
          <w:b/>
          <w:sz w:val="24"/>
          <w:szCs w:val="24"/>
        </w:rPr>
      </w:pPr>
      <w:r w:rsidRPr="00E836C4">
        <w:rPr>
          <w:rStyle w:val="Hyperlink"/>
          <w:rFonts w:ascii="Times New Roman" w:hAnsi="Times New Roman" w:cs="Times New Roman"/>
          <w:color w:val="auto"/>
          <w:sz w:val="24"/>
          <w:szCs w:val="24"/>
          <w:u w:val="none"/>
          <w:shd w:val="clear" w:color="auto" w:fill="FFFFFF"/>
        </w:rPr>
        <w:t xml:space="preserve">Melony, T. (2016). </w:t>
      </w:r>
      <w:r w:rsidRPr="00E836C4">
        <w:rPr>
          <w:rStyle w:val="markedcontent"/>
          <w:rFonts w:ascii="Times New Roman" w:hAnsi="Times New Roman" w:cs="Times New Roman"/>
          <w:sz w:val="24"/>
          <w:szCs w:val="24"/>
        </w:rPr>
        <w:t xml:space="preserve">Ethical Perspectives and Body Cameras: Questions for Consideration. Western Illinois University. Retrieved from </w:t>
      </w:r>
      <w:hyperlink r:id="rId11" w:history="1">
        <w:r w:rsidRPr="00E836C4">
          <w:rPr>
            <w:rStyle w:val="Hyperlink"/>
            <w:rFonts w:ascii="Times New Roman" w:hAnsi="Times New Roman" w:cs="Times New Roman"/>
            <w:sz w:val="24"/>
            <w:szCs w:val="24"/>
          </w:rPr>
          <w:t>https://cdn.ymaws.com/fbileeda.site-ym.com/resource/resmgr/docs/Insighter/2016/FBI-L_Insighter_January2016.pdf</w:t>
        </w:r>
      </w:hyperlink>
      <w:r w:rsidRPr="00E836C4">
        <w:rPr>
          <w:rStyle w:val="markedcontent"/>
          <w:rFonts w:ascii="Times New Roman" w:hAnsi="Times New Roman" w:cs="Times New Roman"/>
          <w:sz w:val="24"/>
          <w:szCs w:val="24"/>
        </w:rPr>
        <w:t xml:space="preserve">  </w:t>
      </w:r>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color w:val="222222"/>
          <w:sz w:val="24"/>
          <w:szCs w:val="24"/>
          <w:shd w:val="clear" w:color="auto" w:fill="FFFFFF"/>
        </w:rPr>
        <w:t>Police Executive Research Forum. (2018). Cost and Benefits of Body-Worn Camera Deployment. Washington: Police Executive Research Forum.</w:t>
      </w:r>
    </w:p>
    <w:p w:rsidR="00E836C4" w:rsidRPr="00E836C4" w:rsidRDefault="00E836C4" w:rsidP="00E836C4">
      <w:pPr>
        <w:spacing w:line="480" w:lineRule="auto"/>
        <w:ind w:left="720" w:hanging="720"/>
        <w:rPr>
          <w:rStyle w:val="Hyperlink"/>
          <w:rFonts w:ascii="Times New Roman" w:hAnsi="Times New Roman" w:cs="Times New Roman"/>
          <w:b/>
          <w:color w:val="auto"/>
          <w:sz w:val="24"/>
          <w:szCs w:val="24"/>
          <w:u w:val="none"/>
        </w:rPr>
      </w:pPr>
      <w:r w:rsidRPr="00E836C4">
        <w:rPr>
          <w:rFonts w:ascii="Times New Roman" w:hAnsi="Times New Roman" w:cs="Times New Roman"/>
          <w:color w:val="222222"/>
          <w:sz w:val="24"/>
          <w:szCs w:val="24"/>
          <w:shd w:val="clear" w:color="auto" w:fill="FFFFFF"/>
        </w:rPr>
        <w:t xml:space="preserve">Shueh, J. (2017, November 28). “After Endless Glitches, Montgomery County shelves police boyd cameras.” </w:t>
      </w:r>
      <w:r w:rsidRPr="00E836C4">
        <w:rPr>
          <w:rFonts w:ascii="Times New Roman" w:hAnsi="Times New Roman" w:cs="Times New Roman"/>
          <w:i/>
          <w:color w:val="222222"/>
          <w:sz w:val="24"/>
          <w:szCs w:val="24"/>
          <w:shd w:val="clear" w:color="auto" w:fill="FFFFFF"/>
        </w:rPr>
        <w:t>States Coop</w:t>
      </w:r>
      <w:r w:rsidRPr="00E836C4">
        <w:rPr>
          <w:rFonts w:ascii="Times New Roman" w:hAnsi="Times New Roman" w:cs="Times New Roman"/>
          <w:color w:val="222222"/>
          <w:sz w:val="24"/>
          <w:szCs w:val="24"/>
          <w:shd w:val="clear" w:color="auto" w:fill="FFFFFF"/>
        </w:rPr>
        <w:t xml:space="preserve"> (online). </w:t>
      </w:r>
      <w:hyperlink r:id="rId12" w:history="1">
        <w:r w:rsidRPr="00E836C4">
          <w:rPr>
            <w:rStyle w:val="Hyperlink"/>
            <w:rFonts w:ascii="Times New Roman" w:hAnsi="Times New Roman" w:cs="Times New Roman"/>
            <w:sz w:val="24"/>
            <w:szCs w:val="24"/>
            <w:shd w:val="clear" w:color="auto" w:fill="FFFFFF"/>
          </w:rPr>
          <w:t>https://statescoop.com/after-endless-glitches-montgomery-county-shelves-police-body-cameras/</w:t>
        </w:r>
      </w:hyperlink>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sz w:val="24"/>
          <w:szCs w:val="24"/>
        </w:rPr>
        <w:t>St. Louis, E., Saulnier, A., &amp; Walby, K. (2019). Police use of body-worn cameras: Challenges of visibility, procedural justice, and legitimacy. </w:t>
      </w:r>
      <w:r w:rsidRPr="00E836C4">
        <w:rPr>
          <w:rFonts w:ascii="Times New Roman" w:hAnsi="Times New Roman" w:cs="Times New Roman"/>
          <w:i/>
          <w:iCs/>
          <w:sz w:val="24"/>
          <w:szCs w:val="24"/>
        </w:rPr>
        <w:t>Surveillance &amp; Society</w:t>
      </w:r>
      <w:r w:rsidRPr="00E836C4">
        <w:rPr>
          <w:rFonts w:ascii="Times New Roman" w:hAnsi="Times New Roman" w:cs="Times New Roman"/>
          <w:sz w:val="24"/>
          <w:szCs w:val="24"/>
        </w:rPr>
        <w:t>, </w:t>
      </w:r>
      <w:r w:rsidRPr="00E836C4">
        <w:rPr>
          <w:rFonts w:ascii="Times New Roman" w:hAnsi="Times New Roman" w:cs="Times New Roman"/>
          <w:i/>
          <w:iCs/>
          <w:sz w:val="24"/>
          <w:szCs w:val="24"/>
        </w:rPr>
        <w:t>17</w:t>
      </w:r>
      <w:r w:rsidRPr="00E836C4">
        <w:rPr>
          <w:rFonts w:ascii="Times New Roman" w:hAnsi="Times New Roman" w:cs="Times New Roman"/>
          <w:sz w:val="24"/>
          <w:szCs w:val="24"/>
        </w:rPr>
        <w:t xml:space="preserve">(3/4), 305–321. </w:t>
      </w:r>
      <w:hyperlink r:id="rId13" w:history="1">
        <w:r w:rsidRPr="00E836C4">
          <w:rPr>
            <w:rStyle w:val="Hyperlink"/>
            <w:rFonts w:ascii="Times New Roman" w:hAnsi="Times New Roman" w:cs="Times New Roman"/>
            <w:sz w:val="24"/>
            <w:szCs w:val="24"/>
          </w:rPr>
          <w:t>https://doi.org/10.24908/ss.v17i3/4.8649</w:t>
        </w:r>
      </w:hyperlink>
    </w:p>
    <w:p w:rsidR="00E836C4" w:rsidRPr="00E836C4" w:rsidRDefault="00E836C4" w:rsidP="00E836C4">
      <w:pPr>
        <w:spacing w:line="480" w:lineRule="auto"/>
        <w:ind w:left="720" w:hanging="720"/>
        <w:rPr>
          <w:rFonts w:ascii="Times New Roman" w:hAnsi="Times New Roman" w:cs="Times New Roman"/>
          <w:b/>
          <w:sz w:val="24"/>
          <w:szCs w:val="24"/>
        </w:rPr>
      </w:pPr>
      <w:r w:rsidRPr="002B48B0">
        <w:rPr>
          <w:rFonts w:ascii="Times New Roman" w:eastAsia="Times New Roman" w:hAnsi="Times New Roman" w:cs="Times New Roman"/>
          <w:sz w:val="24"/>
          <w:szCs w:val="24"/>
        </w:rPr>
        <w:t xml:space="preserve">Stoughton, S. W. (2017). Police body-worn cameras. </w:t>
      </w:r>
      <w:r w:rsidRPr="002B48B0">
        <w:rPr>
          <w:rFonts w:ascii="Times New Roman" w:eastAsia="Times New Roman" w:hAnsi="Times New Roman" w:cs="Times New Roman"/>
          <w:i/>
          <w:iCs/>
          <w:sz w:val="24"/>
          <w:szCs w:val="24"/>
        </w:rPr>
        <w:t>NCL Rev.</w:t>
      </w:r>
      <w:r w:rsidRPr="002B48B0">
        <w:rPr>
          <w:rFonts w:ascii="Times New Roman" w:eastAsia="Times New Roman" w:hAnsi="Times New Roman" w:cs="Times New Roman"/>
          <w:sz w:val="24"/>
          <w:szCs w:val="24"/>
        </w:rPr>
        <w:t xml:space="preserve">, </w:t>
      </w:r>
      <w:r w:rsidRPr="002B48B0">
        <w:rPr>
          <w:rFonts w:ascii="Times New Roman" w:eastAsia="Times New Roman" w:hAnsi="Times New Roman" w:cs="Times New Roman"/>
          <w:i/>
          <w:iCs/>
          <w:sz w:val="24"/>
          <w:szCs w:val="24"/>
        </w:rPr>
        <w:t>96</w:t>
      </w:r>
      <w:r w:rsidRPr="002B48B0">
        <w:rPr>
          <w:rFonts w:ascii="Times New Roman" w:eastAsia="Times New Roman" w:hAnsi="Times New Roman" w:cs="Times New Roman"/>
          <w:sz w:val="24"/>
          <w:szCs w:val="24"/>
        </w:rPr>
        <w:t>, 1363.</w:t>
      </w:r>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sz w:val="24"/>
          <w:szCs w:val="24"/>
        </w:rPr>
        <w:t>Taylor, E., &amp; Lee, M. (2019). Off the record? Arrestee concerns about the manipulation, modification, and misrepresentation of police body-worn camera footage. </w:t>
      </w:r>
      <w:r w:rsidRPr="00E836C4">
        <w:rPr>
          <w:rFonts w:ascii="Times New Roman" w:hAnsi="Times New Roman" w:cs="Times New Roman"/>
          <w:i/>
          <w:iCs/>
          <w:sz w:val="24"/>
          <w:szCs w:val="24"/>
        </w:rPr>
        <w:t>Surveillance &amp; Society</w:t>
      </w:r>
      <w:r w:rsidRPr="00E836C4">
        <w:rPr>
          <w:rFonts w:ascii="Times New Roman" w:hAnsi="Times New Roman" w:cs="Times New Roman"/>
          <w:sz w:val="24"/>
          <w:szCs w:val="24"/>
        </w:rPr>
        <w:t>, </w:t>
      </w:r>
      <w:r w:rsidRPr="00E836C4">
        <w:rPr>
          <w:rFonts w:ascii="Times New Roman" w:hAnsi="Times New Roman" w:cs="Times New Roman"/>
          <w:i/>
          <w:iCs/>
          <w:sz w:val="24"/>
          <w:szCs w:val="24"/>
        </w:rPr>
        <w:t>17</w:t>
      </w:r>
      <w:r w:rsidRPr="00E836C4">
        <w:rPr>
          <w:rFonts w:ascii="Times New Roman" w:hAnsi="Times New Roman" w:cs="Times New Roman"/>
          <w:sz w:val="24"/>
          <w:szCs w:val="24"/>
        </w:rPr>
        <w:t xml:space="preserve">(3/4), 473–483. </w:t>
      </w:r>
      <w:hyperlink r:id="rId14" w:history="1">
        <w:r w:rsidRPr="00E836C4">
          <w:rPr>
            <w:rStyle w:val="Hyperlink"/>
            <w:rFonts w:ascii="Times New Roman" w:hAnsi="Times New Roman" w:cs="Times New Roman"/>
            <w:sz w:val="24"/>
            <w:szCs w:val="24"/>
          </w:rPr>
          <w:t>https://doi.org/10.24908/ss.v17i3/4.6550</w:t>
        </w:r>
      </w:hyperlink>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sz w:val="24"/>
          <w:szCs w:val="24"/>
        </w:rPr>
        <w:t>Wright, J. E., &amp; Brown, H. (2020). What matters more? Police or the community for body worn camera policy. </w:t>
      </w:r>
      <w:r w:rsidRPr="00E836C4">
        <w:rPr>
          <w:rFonts w:ascii="Times New Roman" w:hAnsi="Times New Roman" w:cs="Times New Roman"/>
          <w:i/>
          <w:iCs/>
          <w:sz w:val="24"/>
          <w:szCs w:val="24"/>
        </w:rPr>
        <w:t>Public Administration Quarterly</w:t>
      </w:r>
      <w:r w:rsidRPr="00E836C4">
        <w:rPr>
          <w:rFonts w:ascii="Times New Roman" w:hAnsi="Times New Roman" w:cs="Times New Roman"/>
          <w:sz w:val="24"/>
          <w:szCs w:val="24"/>
        </w:rPr>
        <w:t>, </w:t>
      </w:r>
      <w:r w:rsidRPr="00E836C4">
        <w:rPr>
          <w:rFonts w:ascii="Times New Roman" w:hAnsi="Times New Roman" w:cs="Times New Roman"/>
          <w:i/>
          <w:iCs/>
          <w:sz w:val="24"/>
          <w:szCs w:val="24"/>
        </w:rPr>
        <w:t>44</w:t>
      </w:r>
      <w:r w:rsidRPr="00E836C4">
        <w:rPr>
          <w:rFonts w:ascii="Times New Roman" w:hAnsi="Times New Roman" w:cs="Times New Roman"/>
          <w:sz w:val="24"/>
          <w:szCs w:val="24"/>
        </w:rPr>
        <w:t xml:space="preserve">(3), 462. https://doi.org/10.37808/paq.44.3.5    </w:t>
      </w:r>
    </w:p>
    <w:p w:rsidR="00E836C4" w:rsidRPr="00E836C4" w:rsidRDefault="00E836C4" w:rsidP="00E836C4">
      <w:pPr>
        <w:spacing w:line="480" w:lineRule="auto"/>
        <w:ind w:left="720" w:hanging="720"/>
        <w:rPr>
          <w:rFonts w:ascii="Times New Roman" w:hAnsi="Times New Roman" w:cs="Times New Roman"/>
          <w:b/>
          <w:sz w:val="24"/>
          <w:szCs w:val="24"/>
        </w:rPr>
      </w:pPr>
      <w:r w:rsidRPr="00E836C4">
        <w:rPr>
          <w:rFonts w:ascii="Times New Roman" w:hAnsi="Times New Roman" w:cs="Times New Roman"/>
          <w:sz w:val="24"/>
          <w:szCs w:val="24"/>
        </w:rPr>
        <w:lastRenderedPageBreak/>
        <w:t xml:space="preserve">Yokum, D., Ravishankar, A., &amp; Coppock, A. (2017). Evaluating the effects of police body-worn cameras. </w:t>
      </w:r>
      <w:r w:rsidRPr="00E836C4">
        <w:rPr>
          <w:rFonts w:ascii="Times New Roman" w:hAnsi="Times New Roman" w:cs="Times New Roman"/>
          <w:i/>
          <w:iCs/>
          <w:sz w:val="24"/>
          <w:szCs w:val="24"/>
        </w:rPr>
        <w:t>Washington, DC: The Lab@ DC</w:t>
      </w:r>
      <w:r w:rsidRPr="00E836C4">
        <w:rPr>
          <w:rFonts w:ascii="Times New Roman" w:hAnsi="Times New Roman" w:cs="Times New Roman"/>
          <w:sz w:val="24"/>
          <w:szCs w:val="24"/>
        </w:rPr>
        <w:t xml:space="preserve">, </w:t>
      </w:r>
      <w:r w:rsidRPr="00E836C4">
        <w:rPr>
          <w:rFonts w:ascii="Times New Roman" w:hAnsi="Times New Roman" w:cs="Times New Roman"/>
          <w:i/>
          <w:iCs/>
          <w:sz w:val="24"/>
          <w:szCs w:val="24"/>
        </w:rPr>
        <w:t>20</w:t>
      </w:r>
      <w:r w:rsidRPr="00E836C4">
        <w:rPr>
          <w:rFonts w:ascii="Times New Roman" w:hAnsi="Times New Roman" w:cs="Times New Roman"/>
          <w:sz w:val="24"/>
          <w:szCs w:val="24"/>
        </w:rPr>
        <w:t>.</w:t>
      </w:r>
    </w:p>
    <w:sectPr w:rsidR="00E836C4" w:rsidRPr="00E836C4" w:rsidSect="00E7256A">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FC" w:rsidRDefault="007E44FC" w:rsidP="00E7256A">
      <w:pPr>
        <w:spacing w:after="0" w:line="240" w:lineRule="auto"/>
      </w:pPr>
      <w:r>
        <w:separator/>
      </w:r>
    </w:p>
  </w:endnote>
  <w:endnote w:type="continuationSeparator" w:id="0">
    <w:p w:rsidR="007E44FC" w:rsidRDefault="007E44FC" w:rsidP="00E7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FC" w:rsidRDefault="007E44FC" w:rsidP="00E7256A">
      <w:pPr>
        <w:spacing w:after="0" w:line="240" w:lineRule="auto"/>
      </w:pPr>
      <w:r>
        <w:separator/>
      </w:r>
    </w:p>
  </w:footnote>
  <w:footnote w:type="continuationSeparator" w:id="0">
    <w:p w:rsidR="007E44FC" w:rsidRDefault="007E44FC" w:rsidP="00E72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6A" w:rsidRPr="00E836C4" w:rsidRDefault="00E836C4">
    <w:pPr>
      <w:pStyle w:val="Header"/>
      <w:rPr>
        <w:rFonts w:ascii="Times New Roman" w:hAnsi="Times New Roman" w:cs="Times New Roman"/>
        <w:sz w:val="24"/>
        <w:szCs w:val="24"/>
      </w:rPr>
    </w:pPr>
    <w:r>
      <w:tab/>
    </w:r>
    <w:r>
      <w:tab/>
    </w:r>
    <w:r w:rsidRPr="00E836C4">
      <w:rPr>
        <w:rFonts w:ascii="Times New Roman" w:hAnsi="Times New Roman" w:cs="Times New Roman"/>
        <w:sz w:val="24"/>
        <w:szCs w:val="24"/>
      </w:rPr>
      <w:fldChar w:fldCharType="begin"/>
    </w:r>
    <w:r w:rsidRPr="00E836C4">
      <w:rPr>
        <w:rFonts w:ascii="Times New Roman" w:hAnsi="Times New Roman" w:cs="Times New Roman"/>
        <w:sz w:val="24"/>
        <w:szCs w:val="24"/>
      </w:rPr>
      <w:instrText xml:space="preserve"> PAGE   \* MERGEFORMAT </w:instrText>
    </w:r>
    <w:r w:rsidRPr="00E836C4">
      <w:rPr>
        <w:rFonts w:ascii="Times New Roman" w:hAnsi="Times New Roman" w:cs="Times New Roman"/>
        <w:sz w:val="24"/>
        <w:szCs w:val="24"/>
      </w:rPr>
      <w:fldChar w:fldCharType="separate"/>
    </w:r>
    <w:r>
      <w:rPr>
        <w:rFonts w:ascii="Times New Roman" w:hAnsi="Times New Roman" w:cs="Times New Roman"/>
        <w:noProof/>
        <w:sz w:val="24"/>
        <w:szCs w:val="24"/>
      </w:rPr>
      <w:t>23</w:t>
    </w:r>
    <w:r w:rsidRPr="00E836C4">
      <w:rPr>
        <w:rFonts w:ascii="Times New Roman" w:hAnsi="Times New Roman" w:cs="Times New Roman"/>
        <w:noProof/>
        <w:sz w:val="24"/>
        <w:szCs w:val="24"/>
      </w:rPr>
      <w:fldChar w:fldCharType="end"/>
    </w:r>
  </w:p>
  <w:p w:rsidR="00E7256A" w:rsidRDefault="00E72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6A" w:rsidRPr="00E7256A" w:rsidRDefault="00E7256A">
    <w:pPr>
      <w:pStyle w:val="Header"/>
      <w:rPr>
        <w:rFonts w:ascii="Times New Roman" w:hAnsi="Times New Roman" w:cs="Times New Roman"/>
        <w:sz w:val="24"/>
        <w:szCs w:val="24"/>
      </w:rPr>
    </w:pPr>
    <w:r>
      <w:tab/>
    </w:r>
    <w:r>
      <w:tab/>
    </w:r>
    <w:r w:rsidRPr="00E7256A">
      <w:rPr>
        <w:rFonts w:ascii="Times New Roman" w:hAnsi="Times New Roman" w:cs="Times New Roman"/>
        <w:sz w:val="24"/>
        <w:szCs w:val="24"/>
      </w:rPr>
      <w:fldChar w:fldCharType="begin"/>
    </w:r>
    <w:r w:rsidRPr="00E7256A">
      <w:rPr>
        <w:rFonts w:ascii="Times New Roman" w:hAnsi="Times New Roman" w:cs="Times New Roman"/>
        <w:sz w:val="24"/>
        <w:szCs w:val="24"/>
      </w:rPr>
      <w:instrText xml:space="preserve"> PAGE   \* MERGEFORMAT </w:instrText>
    </w:r>
    <w:r w:rsidRPr="00E7256A">
      <w:rPr>
        <w:rFonts w:ascii="Times New Roman" w:hAnsi="Times New Roman" w:cs="Times New Roman"/>
        <w:sz w:val="24"/>
        <w:szCs w:val="24"/>
      </w:rPr>
      <w:fldChar w:fldCharType="separate"/>
    </w:r>
    <w:r w:rsidR="00E836C4">
      <w:rPr>
        <w:rFonts w:ascii="Times New Roman" w:hAnsi="Times New Roman" w:cs="Times New Roman"/>
        <w:noProof/>
        <w:sz w:val="24"/>
        <w:szCs w:val="24"/>
      </w:rPr>
      <w:t>1</w:t>
    </w:r>
    <w:r w:rsidRPr="00E7256A">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5250"/>
    <w:multiLevelType w:val="hybridMultilevel"/>
    <w:tmpl w:val="0F14AE92"/>
    <w:lvl w:ilvl="0" w:tplc="BD4EDE04">
      <w:start w:val="1"/>
      <w:numFmt w:val="bullet"/>
      <w:lvlText w:val=""/>
      <w:lvlJc w:val="left"/>
      <w:pPr>
        <w:tabs>
          <w:tab w:val="num" w:pos="720"/>
        </w:tabs>
        <w:ind w:left="720" w:hanging="360"/>
      </w:pPr>
      <w:rPr>
        <w:rFonts w:ascii="Wingdings 3" w:hAnsi="Wingdings 3" w:hint="default"/>
      </w:rPr>
    </w:lvl>
    <w:lvl w:ilvl="1" w:tplc="D3F04B7C" w:tentative="1">
      <w:start w:val="1"/>
      <w:numFmt w:val="bullet"/>
      <w:lvlText w:val=""/>
      <w:lvlJc w:val="left"/>
      <w:pPr>
        <w:tabs>
          <w:tab w:val="num" w:pos="1440"/>
        </w:tabs>
        <w:ind w:left="1440" w:hanging="360"/>
      </w:pPr>
      <w:rPr>
        <w:rFonts w:ascii="Wingdings 3" w:hAnsi="Wingdings 3" w:hint="default"/>
      </w:rPr>
    </w:lvl>
    <w:lvl w:ilvl="2" w:tplc="2B502708" w:tentative="1">
      <w:start w:val="1"/>
      <w:numFmt w:val="bullet"/>
      <w:lvlText w:val=""/>
      <w:lvlJc w:val="left"/>
      <w:pPr>
        <w:tabs>
          <w:tab w:val="num" w:pos="2160"/>
        </w:tabs>
        <w:ind w:left="2160" w:hanging="360"/>
      </w:pPr>
      <w:rPr>
        <w:rFonts w:ascii="Wingdings 3" w:hAnsi="Wingdings 3" w:hint="default"/>
      </w:rPr>
    </w:lvl>
    <w:lvl w:ilvl="3" w:tplc="A58A33B2" w:tentative="1">
      <w:start w:val="1"/>
      <w:numFmt w:val="bullet"/>
      <w:lvlText w:val=""/>
      <w:lvlJc w:val="left"/>
      <w:pPr>
        <w:tabs>
          <w:tab w:val="num" w:pos="2880"/>
        </w:tabs>
        <w:ind w:left="2880" w:hanging="360"/>
      </w:pPr>
      <w:rPr>
        <w:rFonts w:ascii="Wingdings 3" w:hAnsi="Wingdings 3" w:hint="default"/>
      </w:rPr>
    </w:lvl>
    <w:lvl w:ilvl="4" w:tplc="8E8AC8F4" w:tentative="1">
      <w:start w:val="1"/>
      <w:numFmt w:val="bullet"/>
      <w:lvlText w:val=""/>
      <w:lvlJc w:val="left"/>
      <w:pPr>
        <w:tabs>
          <w:tab w:val="num" w:pos="3600"/>
        </w:tabs>
        <w:ind w:left="3600" w:hanging="360"/>
      </w:pPr>
      <w:rPr>
        <w:rFonts w:ascii="Wingdings 3" w:hAnsi="Wingdings 3" w:hint="default"/>
      </w:rPr>
    </w:lvl>
    <w:lvl w:ilvl="5" w:tplc="DE84EE6E" w:tentative="1">
      <w:start w:val="1"/>
      <w:numFmt w:val="bullet"/>
      <w:lvlText w:val=""/>
      <w:lvlJc w:val="left"/>
      <w:pPr>
        <w:tabs>
          <w:tab w:val="num" w:pos="4320"/>
        </w:tabs>
        <w:ind w:left="4320" w:hanging="360"/>
      </w:pPr>
      <w:rPr>
        <w:rFonts w:ascii="Wingdings 3" w:hAnsi="Wingdings 3" w:hint="default"/>
      </w:rPr>
    </w:lvl>
    <w:lvl w:ilvl="6" w:tplc="AE4AC596" w:tentative="1">
      <w:start w:val="1"/>
      <w:numFmt w:val="bullet"/>
      <w:lvlText w:val=""/>
      <w:lvlJc w:val="left"/>
      <w:pPr>
        <w:tabs>
          <w:tab w:val="num" w:pos="5040"/>
        </w:tabs>
        <w:ind w:left="5040" w:hanging="360"/>
      </w:pPr>
      <w:rPr>
        <w:rFonts w:ascii="Wingdings 3" w:hAnsi="Wingdings 3" w:hint="default"/>
      </w:rPr>
    </w:lvl>
    <w:lvl w:ilvl="7" w:tplc="91529CD6" w:tentative="1">
      <w:start w:val="1"/>
      <w:numFmt w:val="bullet"/>
      <w:lvlText w:val=""/>
      <w:lvlJc w:val="left"/>
      <w:pPr>
        <w:tabs>
          <w:tab w:val="num" w:pos="5760"/>
        </w:tabs>
        <w:ind w:left="5760" w:hanging="360"/>
      </w:pPr>
      <w:rPr>
        <w:rFonts w:ascii="Wingdings 3" w:hAnsi="Wingdings 3" w:hint="default"/>
      </w:rPr>
    </w:lvl>
    <w:lvl w:ilvl="8" w:tplc="2892F694" w:tentative="1">
      <w:start w:val="1"/>
      <w:numFmt w:val="bullet"/>
      <w:lvlText w:val=""/>
      <w:lvlJc w:val="left"/>
      <w:pPr>
        <w:tabs>
          <w:tab w:val="num" w:pos="6480"/>
        </w:tabs>
        <w:ind w:left="6480" w:hanging="360"/>
      </w:pPr>
      <w:rPr>
        <w:rFonts w:ascii="Wingdings 3" w:hAnsi="Wingdings 3" w:hint="default"/>
      </w:rPr>
    </w:lvl>
  </w:abstractNum>
  <w:abstractNum w:abstractNumId="1">
    <w:nsid w:val="13B65A15"/>
    <w:multiLevelType w:val="hybridMultilevel"/>
    <w:tmpl w:val="5D145EA8"/>
    <w:lvl w:ilvl="0" w:tplc="BC7EB596">
      <w:start w:val="1"/>
      <w:numFmt w:val="bullet"/>
      <w:lvlText w:val=""/>
      <w:lvlJc w:val="left"/>
      <w:pPr>
        <w:tabs>
          <w:tab w:val="num" w:pos="720"/>
        </w:tabs>
        <w:ind w:left="720" w:hanging="360"/>
      </w:pPr>
      <w:rPr>
        <w:rFonts w:ascii="Wingdings 3" w:hAnsi="Wingdings 3" w:hint="default"/>
      </w:rPr>
    </w:lvl>
    <w:lvl w:ilvl="1" w:tplc="CE24EB9A" w:tentative="1">
      <w:start w:val="1"/>
      <w:numFmt w:val="bullet"/>
      <w:lvlText w:val=""/>
      <w:lvlJc w:val="left"/>
      <w:pPr>
        <w:tabs>
          <w:tab w:val="num" w:pos="1440"/>
        </w:tabs>
        <w:ind w:left="1440" w:hanging="360"/>
      </w:pPr>
      <w:rPr>
        <w:rFonts w:ascii="Wingdings 3" w:hAnsi="Wingdings 3" w:hint="default"/>
      </w:rPr>
    </w:lvl>
    <w:lvl w:ilvl="2" w:tplc="2348DEE0" w:tentative="1">
      <w:start w:val="1"/>
      <w:numFmt w:val="bullet"/>
      <w:lvlText w:val=""/>
      <w:lvlJc w:val="left"/>
      <w:pPr>
        <w:tabs>
          <w:tab w:val="num" w:pos="2160"/>
        </w:tabs>
        <w:ind w:left="2160" w:hanging="360"/>
      </w:pPr>
      <w:rPr>
        <w:rFonts w:ascii="Wingdings 3" w:hAnsi="Wingdings 3" w:hint="default"/>
      </w:rPr>
    </w:lvl>
    <w:lvl w:ilvl="3" w:tplc="DAC084B8" w:tentative="1">
      <w:start w:val="1"/>
      <w:numFmt w:val="bullet"/>
      <w:lvlText w:val=""/>
      <w:lvlJc w:val="left"/>
      <w:pPr>
        <w:tabs>
          <w:tab w:val="num" w:pos="2880"/>
        </w:tabs>
        <w:ind w:left="2880" w:hanging="360"/>
      </w:pPr>
      <w:rPr>
        <w:rFonts w:ascii="Wingdings 3" w:hAnsi="Wingdings 3" w:hint="default"/>
      </w:rPr>
    </w:lvl>
    <w:lvl w:ilvl="4" w:tplc="1FBCF5DC" w:tentative="1">
      <w:start w:val="1"/>
      <w:numFmt w:val="bullet"/>
      <w:lvlText w:val=""/>
      <w:lvlJc w:val="left"/>
      <w:pPr>
        <w:tabs>
          <w:tab w:val="num" w:pos="3600"/>
        </w:tabs>
        <w:ind w:left="3600" w:hanging="360"/>
      </w:pPr>
      <w:rPr>
        <w:rFonts w:ascii="Wingdings 3" w:hAnsi="Wingdings 3" w:hint="default"/>
      </w:rPr>
    </w:lvl>
    <w:lvl w:ilvl="5" w:tplc="82CC41B2" w:tentative="1">
      <w:start w:val="1"/>
      <w:numFmt w:val="bullet"/>
      <w:lvlText w:val=""/>
      <w:lvlJc w:val="left"/>
      <w:pPr>
        <w:tabs>
          <w:tab w:val="num" w:pos="4320"/>
        </w:tabs>
        <w:ind w:left="4320" w:hanging="360"/>
      </w:pPr>
      <w:rPr>
        <w:rFonts w:ascii="Wingdings 3" w:hAnsi="Wingdings 3" w:hint="default"/>
      </w:rPr>
    </w:lvl>
    <w:lvl w:ilvl="6" w:tplc="ACD02398" w:tentative="1">
      <w:start w:val="1"/>
      <w:numFmt w:val="bullet"/>
      <w:lvlText w:val=""/>
      <w:lvlJc w:val="left"/>
      <w:pPr>
        <w:tabs>
          <w:tab w:val="num" w:pos="5040"/>
        </w:tabs>
        <w:ind w:left="5040" w:hanging="360"/>
      </w:pPr>
      <w:rPr>
        <w:rFonts w:ascii="Wingdings 3" w:hAnsi="Wingdings 3" w:hint="default"/>
      </w:rPr>
    </w:lvl>
    <w:lvl w:ilvl="7" w:tplc="CD4EB8F0" w:tentative="1">
      <w:start w:val="1"/>
      <w:numFmt w:val="bullet"/>
      <w:lvlText w:val=""/>
      <w:lvlJc w:val="left"/>
      <w:pPr>
        <w:tabs>
          <w:tab w:val="num" w:pos="5760"/>
        </w:tabs>
        <w:ind w:left="5760" w:hanging="360"/>
      </w:pPr>
      <w:rPr>
        <w:rFonts w:ascii="Wingdings 3" w:hAnsi="Wingdings 3" w:hint="default"/>
      </w:rPr>
    </w:lvl>
    <w:lvl w:ilvl="8" w:tplc="51582B42" w:tentative="1">
      <w:start w:val="1"/>
      <w:numFmt w:val="bullet"/>
      <w:lvlText w:val=""/>
      <w:lvlJc w:val="left"/>
      <w:pPr>
        <w:tabs>
          <w:tab w:val="num" w:pos="6480"/>
        </w:tabs>
        <w:ind w:left="6480" w:hanging="360"/>
      </w:pPr>
      <w:rPr>
        <w:rFonts w:ascii="Wingdings 3" w:hAnsi="Wingdings 3" w:hint="default"/>
      </w:rPr>
    </w:lvl>
  </w:abstractNum>
  <w:abstractNum w:abstractNumId="2">
    <w:nsid w:val="266D4B3D"/>
    <w:multiLevelType w:val="hybridMultilevel"/>
    <w:tmpl w:val="51E2ABF6"/>
    <w:lvl w:ilvl="0" w:tplc="9B0A6F38">
      <w:start w:val="1"/>
      <w:numFmt w:val="bullet"/>
      <w:lvlText w:val=""/>
      <w:lvlJc w:val="left"/>
      <w:pPr>
        <w:tabs>
          <w:tab w:val="num" w:pos="720"/>
        </w:tabs>
        <w:ind w:left="720" w:hanging="360"/>
      </w:pPr>
      <w:rPr>
        <w:rFonts w:ascii="Wingdings 3" w:hAnsi="Wingdings 3" w:hint="default"/>
      </w:rPr>
    </w:lvl>
    <w:lvl w:ilvl="1" w:tplc="321CDF24" w:tentative="1">
      <w:start w:val="1"/>
      <w:numFmt w:val="bullet"/>
      <w:lvlText w:val=""/>
      <w:lvlJc w:val="left"/>
      <w:pPr>
        <w:tabs>
          <w:tab w:val="num" w:pos="1440"/>
        </w:tabs>
        <w:ind w:left="1440" w:hanging="360"/>
      </w:pPr>
      <w:rPr>
        <w:rFonts w:ascii="Wingdings 3" w:hAnsi="Wingdings 3" w:hint="default"/>
      </w:rPr>
    </w:lvl>
    <w:lvl w:ilvl="2" w:tplc="E9CCFAA8" w:tentative="1">
      <w:start w:val="1"/>
      <w:numFmt w:val="bullet"/>
      <w:lvlText w:val=""/>
      <w:lvlJc w:val="left"/>
      <w:pPr>
        <w:tabs>
          <w:tab w:val="num" w:pos="2160"/>
        </w:tabs>
        <w:ind w:left="2160" w:hanging="360"/>
      </w:pPr>
      <w:rPr>
        <w:rFonts w:ascii="Wingdings 3" w:hAnsi="Wingdings 3" w:hint="default"/>
      </w:rPr>
    </w:lvl>
    <w:lvl w:ilvl="3" w:tplc="8D30EC42" w:tentative="1">
      <w:start w:val="1"/>
      <w:numFmt w:val="bullet"/>
      <w:lvlText w:val=""/>
      <w:lvlJc w:val="left"/>
      <w:pPr>
        <w:tabs>
          <w:tab w:val="num" w:pos="2880"/>
        </w:tabs>
        <w:ind w:left="2880" w:hanging="360"/>
      </w:pPr>
      <w:rPr>
        <w:rFonts w:ascii="Wingdings 3" w:hAnsi="Wingdings 3" w:hint="default"/>
      </w:rPr>
    </w:lvl>
    <w:lvl w:ilvl="4" w:tplc="33688608" w:tentative="1">
      <w:start w:val="1"/>
      <w:numFmt w:val="bullet"/>
      <w:lvlText w:val=""/>
      <w:lvlJc w:val="left"/>
      <w:pPr>
        <w:tabs>
          <w:tab w:val="num" w:pos="3600"/>
        </w:tabs>
        <w:ind w:left="3600" w:hanging="360"/>
      </w:pPr>
      <w:rPr>
        <w:rFonts w:ascii="Wingdings 3" w:hAnsi="Wingdings 3" w:hint="default"/>
      </w:rPr>
    </w:lvl>
    <w:lvl w:ilvl="5" w:tplc="580AFEF0" w:tentative="1">
      <w:start w:val="1"/>
      <w:numFmt w:val="bullet"/>
      <w:lvlText w:val=""/>
      <w:lvlJc w:val="left"/>
      <w:pPr>
        <w:tabs>
          <w:tab w:val="num" w:pos="4320"/>
        </w:tabs>
        <w:ind w:left="4320" w:hanging="360"/>
      </w:pPr>
      <w:rPr>
        <w:rFonts w:ascii="Wingdings 3" w:hAnsi="Wingdings 3" w:hint="default"/>
      </w:rPr>
    </w:lvl>
    <w:lvl w:ilvl="6" w:tplc="D158B316" w:tentative="1">
      <w:start w:val="1"/>
      <w:numFmt w:val="bullet"/>
      <w:lvlText w:val=""/>
      <w:lvlJc w:val="left"/>
      <w:pPr>
        <w:tabs>
          <w:tab w:val="num" w:pos="5040"/>
        </w:tabs>
        <w:ind w:left="5040" w:hanging="360"/>
      </w:pPr>
      <w:rPr>
        <w:rFonts w:ascii="Wingdings 3" w:hAnsi="Wingdings 3" w:hint="default"/>
      </w:rPr>
    </w:lvl>
    <w:lvl w:ilvl="7" w:tplc="018E214E" w:tentative="1">
      <w:start w:val="1"/>
      <w:numFmt w:val="bullet"/>
      <w:lvlText w:val=""/>
      <w:lvlJc w:val="left"/>
      <w:pPr>
        <w:tabs>
          <w:tab w:val="num" w:pos="5760"/>
        </w:tabs>
        <w:ind w:left="5760" w:hanging="360"/>
      </w:pPr>
      <w:rPr>
        <w:rFonts w:ascii="Wingdings 3" w:hAnsi="Wingdings 3" w:hint="default"/>
      </w:rPr>
    </w:lvl>
    <w:lvl w:ilvl="8" w:tplc="324282D6" w:tentative="1">
      <w:start w:val="1"/>
      <w:numFmt w:val="bullet"/>
      <w:lvlText w:val=""/>
      <w:lvlJc w:val="left"/>
      <w:pPr>
        <w:tabs>
          <w:tab w:val="num" w:pos="6480"/>
        </w:tabs>
        <w:ind w:left="6480" w:hanging="360"/>
      </w:pPr>
      <w:rPr>
        <w:rFonts w:ascii="Wingdings 3" w:hAnsi="Wingdings 3" w:hint="default"/>
      </w:rPr>
    </w:lvl>
  </w:abstractNum>
  <w:abstractNum w:abstractNumId="3">
    <w:nsid w:val="377C6189"/>
    <w:multiLevelType w:val="hybridMultilevel"/>
    <w:tmpl w:val="2CF0674E"/>
    <w:lvl w:ilvl="0" w:tplc="8E4A3C98">
      <w:start w:val="1"/>
      <w:numFmt w:val="bullet"/>
      <w:lvlText w:val="•"/>
      <w:lvlJc w:val="left"/>
      <w:pPr>
        <w:tabs>
          <w:tab w:val="num" w:pos="720"/>
        </w:tabs>
        <w:ind w:left="720" w:hanging="360"/>
      </w:pPr>
      <w:rPr>
        <w:rFonts w:ascii="Times New Roman" w:hAnsi="Times New Roman" w:hint="default"/>
      </w:rPr>
    </w:lvl>
    <w:lvl w:ilvl="1" w:tplc="083081F6">
      <w:start w:val="-1"/>
      <w:numFmt w:val="bullet"/>
      <w:lvlText w:val="•"/>
      <w:lvlJc w:val="left"/>
      <w:pPr>
        <w:tabs>
          <w:tab w:val="num" w:pos="1440"/>
        </w:tabs>
        <w:ind w:left="1440" w:hanging="360"/>
      </w:pPr>
      <w:rPr>
        <w:rFonts w:ascii="Times New Roman" w:hAnsi="Times New Roman" w:hint="default"/>
      </w:rPr>
    </w:lvl>
    <w:lvl w:ilvl="2" w:tplc="4840170E" w:tentative="1">
      <w:start w:val="1"/>
      <w:numFmt w:val="bullet"/>
      <w:lvlText w:val="•"/>
      <w:lvlJc w:val="left"/>
      <w:pPr>
        <w:tabs>
          <w:tab w:val="num" w:pos="2160"/>
        </w:tabs>
        <w:ind w:left="2160" w:hanging="360"/>
      </w:pPr>
      <w:rPr>
        <w:rFonts w:ascii="Times New Roman" w:hAnsi="Times New Roman" w:hint="default"/>
      </w:rPr>
    </w:lvl>
    <w:lvl w:ilvl="3" w:tplc="FC5C20C6" w:tentative="1">
      <w:start w:val="1"/>
      <w:numFmt w:val="bullet"/>
      <w:lvlText w:val="•"/>
      <w:lvlJc w:val="left"/>
      <w:pPr>
        <w:tabs>
          <w:tab w:val="num" w:pos="2880"/>
        </w:tabs>
        <w:ind w:left="2880" w:hanging="360"/>
      </w:pPr>
      <w:rPr>
        <w:rFonts w:ascii="Times New Roman" w:hAnsi="Times New Roman" w:hint="default"/>
      </w:rPr>
    </w:lvl>
    <w:lvl w:ilvl="4" w:tplc="A75C0928" w:tentative="1">
      <w:start w:val="1"/>
      <w:numFmt w:val="bullet"/>
      <w:lvlText w:val="•"/>
      <w:lvlJc w:val="left"/>
      <w:pPr>
        <w:tabs>
          <w:tab w:val="num" w:pos="3600"/>
        </w:tabs>
        <w:ind w:left="3600" w:hanging="360"/>
      </w:pPr>
      <w:rPr>
        <w:rFonts w:ascii="Times New Roman" w:hAnsi="Times New Roman" w:hint="default"/>
      </w:rPr>
    </w:lvl>
    <w:lvl w:ilvl="5" w:tplc="ADAC28E4" w:tentative="1">
      <w:start w:val="1"/>
      <w:numFmt w:val="bullet"/>
      <w:lvlText w:val="•"/>
      <w:lvlJc w:val="left"/>
      <w:pPr>
        <w:tabs>
          <w:tab w:val="num" w:pos="4320"/>
        </w:tabs>
        <w:ind w:left="4320" w:hanging="360"/>
      </w:pPr>
      <w:rPr>
        <w:rFonts w:ascii="Times New Roman" w:hAnsi="Times New Roman" w:hint="default"/>
      </w:rPr>
    </w:lvl>
    <w:lvl w:ilvl="6" w:tplc="19925A98" w:tentative="1">
      <w:start w:val="1"/>
      <w:numFmt w:val="bullet"/>
      <w:lvlText w:val="•"/>
      <w:lvlJc w:val="left"/>
      <w:pPr>
        <w:tabs>
          <w:tab w:val="num" w:pos="5040"/>
        </w:tabs>
        <w:ind w:left="5040" w:hanging="360"/>
      </w:pPr>
      <w:rPr>
        <w:rFonts w:ascii="Times New Roman" w:hAnsi="Times New Roman" w:hint="default"/>
      </w:rPr>
    </w:lvl>
    <w:lvl w:ilvl="7" w:tplc="FDA40F56" w:tentative="1">
      <w:start w:val="1"/>
      <w:numFmt w:val="bullet"/>
      <w:lvlText w:val="•"/>
      <w:lvlJc w:val="left"/>
      <w:pPr>
        <w:tabs>
          <w:tab w:val="num" w:pos="5760"/>
        </w:tabs>
        <w:ind w:left="5760" w:hanging="360"/>
      </w:pPr>
      <w:rPr>
        <w:rFonts w:ascii="Times New Roman" w:hAnsi="Times New Roman" w:hint="default"/>
      </w:rPr>
    </w:lvl>
    <w:lvl w:ilvl="8" w:tplc="C02842B6" w:tentative="1">
      <w:start w:val="1"/>
      <w:numFmt w:val="bullet"/>
      <w:lvlText w:val="•"/>
      <w:lvlJc w:val="left"/>
      <w:pPr>
        <w:tabs>
          <w:tab w:val="num" w:pos="6480"/>
        </w:tabs>
        <w:ind w:left="6480" w:hanging="360"/>
      </w:pPr>
      <w:rPr>
        <w:rFonts w:ascii="Times New Roman" w:hAnsi="Times New Roman" w:hint="default"/>
      </w:rPr>
    </w:lvl>
  </w:abstractNum>
  <w:abstractNum w:abstractNumId="4">
    <w:nsid w:val="51416C31"/>
    <w:multiLevelType w:val="hybridMultilevel"/>
    <w:tmpl w:val="EADEE20A"/>
    <w:lvl w:ilvl="0" w:tplc="5BC05282">
      <w:start w:val="1"/>
      <w:numFmt w:val="bullet"/>
      <w:lvlText w:val=""/>
      <w:lvlJc w:val="left"/>
      <w:pPr>
        <w:tabs>
          <w:tab w:val="num" w:pos="720"/>
        </w:tabs>
        <w:ind w:left="720" w:hanging="360"/>
      </w:pPr>
      <w:rPr>
        <w:rFonts w:ascii="Wingdings 3" w:hAnsi="Wingdings 3" w:hint="default"/>
      </w:rPr>
    </w:lvl>
    <w:lvl w:ilvl="1" w:tplc="D862DF62" w:tentative="1">
      <w:start w:val="1"/>
      <w:numFmt w:val="bullet"/>
      <w:lvlText w:val=""/>
      <w:lvlJc w:val="left"/>
      <w:pPr>
        <w:tabs>
          <w:tab w:val="num" w:pos="1440"/>
        </w:tabs>
        <w:ind w:left="1440" w:hanging="360"/>
      </w:pPr>
      <w:rPr>
        <w:rFonts w:ascii="Wingdings 3" w:hAnsi="Wingdings 3" w:hint="default"/>
      </w:rPr>
    </w:lvl>
    <w:lvl w:ilvl="2" w:tplc="34AE6F1C" w:tentative="1">
      <w:start w:val="1"/>
      <w:numFmt w:val="bullet"/>
      <w:lvlText w:val=""/>
      <w:lvlJc w:val="left"/>
      <w:pPr>
        <w:tabs>
          <w:tab w:val="num" w:pos="2160"/>
        </w:tabs>
        <w:ind w:left="2160" w:hanging="360"/>
      </w:pPr>
      <w:rPr>
        <w:rFonts w:ascii="Wingdings 3" w:hAnsi="Wingdings 3" w:hint="default"/>
      </w:rPr>
    </w:lvl>
    <w:lvl w:ilvl="3" w:tplc="0E04F282" w:tentative="1">
      <w:start w:val="1"/>
      <w:numFmt w:val="bullet"/>
      <w:lvlText w:val=""/>
      <w:lvlJc w:val="left"/>
      <w:pPr>
        <w:tabs>
          <w:tab w:val="num" w:pos="2880"/>
        </w:tabs>
        <w:ind w:left="2880" w:hanging="360"/>
      </w:pPr>
      <w:rPr>
        <w:rFonts w:ascii="Wingdings 3" w:hAnsi="Wingdings 3" w:hint="default"/>
      </w:rPr>
    </w:lvl>
    <w:lvl w:ilvl="4" w:tplc="1C36A118" w:tentative="1">
      <w:start w:val="1"/>
      <w:numFmt w:val="bullet"/>
      <w:lvlText w:val=""/>
      <w:lvlJc w:val="left"/>
      <w:pPr>
        <w:tabs>
          <w:tab w:val="num" w:pos="3600"/>
        </w:tabs>
        <w:ind w:left="3600" w:hanging="360"/>
      </w:pPr>
      <w:rPr>
        <w:rFonts w:ascii="Wingdings 3" w:hAnsi="Wingdings 3" w:hint="default"/>
      </w:rPr>
    </w:lvl>
    <w:lvl w:ilvl="5" w:tplc="A0D0B62C" w:tentative="1">
      <w:start w:val="1"/>
      <w:numFmt w:val="bullet"/>
      <w:lvlText w:val=""/>
      <w:lvlJc w:val="left"/>
      <w:pPr>
        <w:tabs>
          <w:tab w:val="num" w:pos="4320"/>
        </w:tabs>
        <w:ind w:left="4320" w:hanging="360"/>
      </w:pPr>
      <w:rPr>
        <w:rFonts w:ascii="Wingdings 3" w:hAnsi="Wingdings 3" w:hint="default"/>
      </w:rPr>
    </w:lvl>
    <w:lvl w:ilvl="6" w:tplc="353ED8D6" w:tentative="1">
      <w:start w:val="1"/>
      <w:numFmt w:val="bullet"/>
      <w:lvlText w:val=""/>
      <w:lvlJc w:val="left"/>
      <w:pPr>
        <w:tabs>
          <w:tab w:val="num" w:pos="5040"/>
        </w:tabs>
        <w:ind w:left="5040" w:hanging="360"/>
      </w:pPr>
      <w:rPr>
        <w:rFonts w:ascii="Wingdings 3" w:hAnsi="Wingdings 3" w:hint="default"/>
      </w:rPr>
    </w:lvl>
    <w:lvl w:ilvl="7" w:tplc="1F64C48C" w:tentative="1">
      <w:start w:val="1"/>
      <w:numFmt w:val="bullet"/>
      <w:lvlText w:val=""/>
      <w:lvlJc w:val="left"/>
      <w:pPr>
        <w:tabs>
          <w:tab w:val="num" w:pos="5760"/>
        </w:tabs>
        <w:ind w:left="5760" w:hanging="360"/>
      </w:pPr>
      <w:rPr>
        <w:rFonts w:ascii="Wingdings 3" w:hAnsi="Wingdings 3" w:hint="default"/>
      </w:rPr>
    </w:lvl>
    <w:lvl w:ilvl="8" w:tplc="B46C4980" w:tentative="1">
      <w:start w:val="1"/>
      <w:numFmt w:val="bullet"/>
      <w:lvlText w:val=""/>
      <w:lvlJc w:val="left"/>
      <w:pPr>
        <w:tabs>
          <w:tab w:val="num" w:pos="6480"/>
        </w:tabs>
        <w:ind w:left="6480" w:hanging="360"/>
      </w:pPr>
      <w:rPr>
        <w:rFonts w:ascii="Wingdings 3" w:hAnsi="Wingdings 3" w:hint="default"/>
      </w:rPr>
    </w:lvl>
  </w:abstractNum>
  <w:abstractNum w:abstractNumId="5">
    <w:nsid w:val="636E4D83"/>
    <w:multiLevelType w:val="hybridMultilevel"/>
    <w:tmpl w:val="DDF22CC4"/>
    <w:lvl w:ilvl="0" w:tplc="E1E6E590">
      <w:start w:val="1"/>
      <w:numFmt w:val="bullet"/>
      <w:lvlText w:val=""/>
      <w:lvlJc w:val="left"/>
      <w:pPr>
        <w:tabs>
          <w:tab w:val="num" w:pos="720"/>
        </w:tabs>
        <w:ind w:left="720" w:hanging="360"/>
      </w:pPr>
      <w:rPr>
        <w:rFonts w:ascii="Wingdings 3" w:hAnsi="Wingdings 3" w:hint="default"/>
      </w:rPr>
    </w:lvl>
    <w:lvl w:ilvl="1" w:tplc="6CF801E4" w:tentative="1">
      <w:start w:val="1"/>
      <w:numFmt w:val="bullet"/>
      <w:lvlText w:val=""/>
      <w:lvlJc w:val="left"/>
      <w:pPr>
        <w:tabs>
          <w:tab w:val="num" w:pos="1440"/>
        </w:tabs>
        <w:ind w:left="1440" w:hanging="360"/>
      </w:pPr>
      <w:rPr>
        <w:rFonts w:ascii="Wingdings 3" w:hAnsi="Wingdings 3" w:hint="default"/>
      </w:rPr>
    </w:lvl>
    <w:lvl w:ilvl="2" w:tplc="E304B96E" w:tentative="1">
      <w:start w:val="1"/>
      <w:numFmt w:val="bullet"/>
      <w:lvlText w:val=""/>
      <w:lvlJc w:val="left"/>
      <w:pPr>
        <w:tabs>
          <w:tab w:val="num" w:pos="2160"/>
        </w:tabs>
        <w:ind w:left="2160" w:hanging="360"/>
      </w:pPr>
      <w:rPr>
        <w:rFonts w:ascii="Wingdings 3" w:hAnsi="Wingdings 3" w:hint="default"/>
      </w:rPr>
    </w:lvl>
    <w:lvl w:ilvl="3" w:tplc="4EEC395E" w:tentative="1">
      <w:start w:val="1"/>
      <w:numFmt w:val="bullet"/>
      <w:lvlText w:val=""/>
      <w:lvlJc w:val="left"/>
      <w:pPr>
        <w:tabs>
          <w:tab w:val="num" w:pos="2880"/>
        </w:tabs>
        <w:ind w:left="2880" w:hanging="360"/>
      </w:pPr>
      <w:rPr>
        <w:rFonts w:ascii="Wingdings 3" w:hAnsi="Wingdings 3" w:hint="default"/>
      </w:rPr>
    </w:lvl>
    <w:lvl w:ilvl="4" w:tplc="23282C48" w:tentative="1">
      <w:start w:val="1"/>
      <w:numFmt w:val="bullet"/>
      <w:lvlText w:val=""/>
      <w:lvlJc w:val="left"/>
      <w:pPr>
        <w:tabs>
          <w:tab w:val="num" w:pos="3600"/>
        </w:tabs>
        <w:ind w:left="3600" w:hanging="360"/>
      </w:pPr>
      <w:rPr>
        <w:rFonts w:ascii="Wingdings 3" w:hAnsi="Wingdings 3" w:hint="default"/>
      </w:rPr>
    </w:lvl>
    <w:lvl w:ilvl="5" w:tplc="4FCA54A6" w:tentative="1">
      <w:start w:val="1"/>
      <w:numFmt w:val="bullet"/>
      <w:lvlText w:val=""/>
      <w:lvlJc w:val="left"/>
      <w:pPr>
        <w:tabs>
          <w:tab w:val="num" w:pos="4320"/>
        </w:tabs>
        <w:ind w:left="4320" w:hanging="360"/>
      </w:pPr>
      <w:rPr>
        <w:rFonts w:ascii="Wingdings 3" w:hAnsi="Wingdings 3" w:hint="default"/>
      </w:rPr>
    </w:lvl>
    <w:lvl w:ilvl="6" w:tplc="E0641308" w:tentative="1">
      <w:start w:val="1"/>
      <w:numFmt w:val="bullet"/>
      <w:lvlText w:val=""/>
      <w:lvlJc w:val="left"/>
      <w:pPr>
        <w:tabs>
          <w:tab w:val="num" w:pos="5040"/>
        </w:tabs>
        <w:ind w:left="5040" w:hanging="360"/>
      </w:pPr>
      <w:rPr>
        <w:rFonts w:ascii="Wingdings 3" w:hAnsi="Wingdings 3" w:hint="default"/>
      </w:rPr>
    </w:lvl>
    <w:lvl w:ilvl="7" w:tplc="76A88E92" w:tentative="1">
      <w:start w:val="1"/>
      <w:numFmt w:val="bullet"/>
      <w:lvlText w:val=""/>
      <w:lvlJc w:val="left"/>
      <w:pPr>
        <w:tabs>
          <w:tab w:val="num" w:pos="5760"/>
        </w:tabs>
        <w:ind w:left="5760" w:hanging="360"/>
      </w:pPr>
      <w:rPr>
        <w:rFonts w:ascii="Wingdings 3" w:hAnsi="Wingdings 3" w:hint="default"/>
      </w:rPr>
    </w:lvl>
    <w:lvl w:ilvl="8" w:tplc="16646E26" w:tentative="1">
      <w:start w:val="1"/>
      <w:numFmt w:val="bullet"/>
      <w:lvlText w:val=""/>
      <w:lvlJc w:val="left"/>
      <w:pPr>
        <w:tabs>
          <w:tab w:val="num" w:pos="6480"/>
        </w:tabs>
        <w:ind w:left="6480" w:hanging="360"/>
      </w:pPr>
      <w:rPr>
        <w:rFonts w:ascii="Wingdings 3" w:hAnsi="Wingdings 3" w:hint="default"/>
      </w:rPr>
    </w:lvl>
  </w:abstractNum>
  <w:abstractNum w:abstractNumId="6">
    <w:nsid w:val="77025937"/>
    <w:multiLevelType w:val="hybridMultilevel"/>
    <w:tmpl w:val="9582005E"/>
    <w:lvl w:ilvl="0" w:tplc="79041FE0">
      <w:start w:val="1"/>
      <w:numFmt w:val="bullet"/>
      <w:lvlText w:val="‣"/>
      <w:lvlJc w:val="left"/>
      <w:pPr>
        <w:tabs>
          <w:tab w:val="num" w:pos="720"/>
        </w:tabs>
        <w:ind w:left="720" w:hanging="360"/>
      </w:pPr>
      <w:rPr>
        <w:rFonts w:ascii="Lucida Sans Unicode" w:hAnsi="Lucida Sans Unicode" w:hint="default"/>
      </w:rPr>
    </w:lvl>
    <w:lvl w:ilvl="1" w:tplc="38EAF2BC">
      <w:start w:val="1"/>
      <w:numFmt w:val="bullet"/>
      <w:lvlText w:val="‣"/>
      <w:lvlJc w:val="left"/>
      <w:pPr>
        <w:tabs>
          <w:tab w:val="num" w:pos="1440"/>
        </w:tabs>
        <w:ind w:left="1440" w:hanging="360"/>
      </w:pPr>
      <w:rPr>
        <w:rFonts w:ascii="Lucida Sans Unicode" w:hAnsi="Lucida Sans Unicode" w:hint="default"/>
      </w:rPr>
    </w:lvl>
    <w:lvl w:ilvl="2" w:tplc="A5CE4CB8" w:tentative="1">
      <w:start w:val="1"/>
      <w:numFmt w:val="bullet"/>
      <w:lvlText w:val="‣"/>
      <w:lvlJc w:val="left"/>
      <w:pPr>
        <w:tabs>
          <w:tab w:val="num" w:pos="2160"/>
        </w:tabs>
        <w:ind w:left="2160" w:hanging="360"/>
      </w:pPr>
      <w:rPr>
        <w:rFonts w:ascii="Lucida Sans Unicode" w:hAnsi="Lucida Sans Unicode" w:hint="default"/>
      </w:rPr>
    </w:lvl>
    <w:lvl w:ilvl="3" w:tplc="C3563AE6" w:tentative="1">
      <w:start w:val="1"/>
      <w:numFmt w:val="bullet"/>
      <w:lvlText w:val="‣"/>
      <w:lvlJc w:val="left"/>
      <w:pPr>
        <w:tabs>
          <w:tab w:val="num" w:pos="2880"/>
        </w:tabs>
        <w:ind w:left="2880" w:hanging="360"/>
      </w:pPr>
      <w:rPr>
        <w:rFonts w:ascii="Lucida Sans Unicode" w:hAnsi="Lucida Sans Unicode" w:hint="default"/>
      </w:rPr>
    </w:lvl>
    <w:lvl w:ilvl="4" w:tplc="12EAE964" w:tentative="1">
      <w:start w:val="1"/>
      <w:numFmt w:val="bullet"/>
      <w:lvlText w:val="‣"/>
      <w:lvlJc w:val="left"/>
      <w:pPr>
        <w:tabs>
          <w:tab w:val="num" w:pos="3600"/>
        </w:tabs>
        <w:ind w:left="3600" w:hanging="360"/>
      </w:pPr>
      <w:rPr>
        <w:rFonts w:ascii="Lucida Sans Unicode" w:hAnsi="Lucida Sans Unicode" w:hint="default"/>
      </w:rPr>
    </w:lvl>
    <w:lvl w:ilvl="5" w:tplc="4B3A7BAA" w:tentative="1">
      <w:start w:val="1"/>
      <w:numFmt w:val="bullet"/>
      <w:lvlText w:val="‣"/>
      <w:lvlJc w:val="left"/>
      <w:pPr>
        <w:tabs>
          <w:tab w:val="num" w:pos="4320"/>
        </w:tabs>
        <w:ind w:left="4320" w:hanging="360"/>
      </w:pPr>
      <w:rPr>
        <w:rFonts w:ascii="Lucida Sans Unicode" w:hAnsi="Lucida Sans Unicode" w:hint="default"/>
      </w:rPr>
    </w:lvl>
    <w:lvl w:ilvl="6" w:tplc="B436081A" w:tentative="1">
      <w:start w:val="1"/>
      <w:numFmt w:val="bullet"/>
      <w:lvlText w:val="‣"/>
      <w:lvlJc w:val="left"/>
      <w:pPr>
        <w:tabs>
          <w:tab w:val="num" w:pos="5040"/>
        </w:tabs>
        <w:ind w:left="5040" w:hanging="360"/>
      </w:pPr>
      <w:rPr>
        <w:rFonts w:ascii="Lucida Sans Unicode" w:hAnsi="Lucida Sans Unicode" w:hint="default"/>
      </w:rPr>
    </w:lvl>
    <w:lvl w:ilvl="7" w:tplc="40986FE6" w:tentative="1">
      <w:start w:val="1"/>
      <w:numFmt w:val="bullet"/>
      <w:lvlText w:val="‣"/>
      <w:lvlJc w:val="left"/>
      <w:pPr>
        <w:tabs>
          <w:tab w:val="num" w:pos="5760"/>
        </w:tabs>
        <w:ind w:left="5760" w:hanging="360"/>
      </w:pPr>
      <w:rPr>
        <w:rFonts w:ascii="Lucida Sans Unicode" w:hAnsi="Lucida Sans Unicode" w:hint="default"/>
      </w:rPr>
    </w:lvl>
    <w:lvl w:ilvl="8" w:tplc="4770EA88" w:tentative="1">
      <w:start w:val="1"/>
      <w:numFmt w:val="bullet"/>
      <w:lvlText w:val="‣"/>
      <w:lvlJc w:val="left"/>
      <w:pPr>
        <w:tabs>
          <w:tab w:val="num" w:pos="6480"/>
        </w:tabs>
        <w:ind w:left="6480" w:hanging="360"/>
      </w:pPr>
      <w:rPr>
        <w:rFonts w:ascii="Lucida Sans Unicode" w:hAnsi="Lucida Sans Unicode" w:hint="default"/>
      </w:r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B3"/>
    <w:rsid w:val="00005937"/>
    <w:rsid w:val="0004270B"/>
    <w:rsid w:val="00054BDA"/>
    <w:rsid w:val="000B5D8C"/>
    <w:rsid w:val="000C71AA"/>
    <w:rsid w:val="000D5265"/>
    <w:rsid w:val="000D52F8"/>
    <w:rsid w:val="00167493"/>
    <w:rsid w:val="002C0D2E"/>
    <w:rsid w:val="00305A64"/>
    <w:rsid w:val="00356772"/>
    <w:rsid w:val="004023BE"/>
    <w:rsid w:val="00500993"/>
    <w:rsid w:val="005319AA"/>
    <w:rsid w:val="00553E91"/>
    <w:rsid w:val="005741A4"/>
    <w:rsid w:val="0061280B"/>
    <w:rsid w:val="0064030F"/>
    <w:rsid w:val="00664D71"/>
    <w:rsid w:val="006B7070"/>
    <w:rsid w:val="006E4F8D"/>
    <w:rsid w:val="0070581D"/>
    <w:rsid w:val="00743BCF"/>
    <w:rsid w:val="007D2BD7"/>
    <w:rsid w:val="007E44FC"/>
    <w:rsid w:val="00816C34"/>
    <w:rsid w:val="0087340F"/>
    <w:rsid w:val="00932B46"/>
    <w:rsid w:val="009B3558"/>
    <w:rsid w:val="009F0E23"/>
    <w:rsid w:val="00A05EB3"/>
    <w:rsid w:val="00A43C70"/>
    <w:rsid w:val="00A54CC7"/>
    <w:rsid w:val="00B26F73"/>
    <w:rsid w:val="00B83A46"/>
    <w:rsid w:val="00C27ABB"/>
    <w:rsid w:val="00C54FE5"/>
    <w:rsid w:val="00C5635F"/>
    <w:rsid w:val="00C61FD4"/>
    <w:rsid w:val="00C76305"/>
    <w:rsid w:val="00CA17DF"/>
    <w:rsid w:val="00CB5339"/>
    <w:rsid w:val="00CC5742"/>
    <w:rsid w:val="00D233A9"/>
    <w:rsid w:val="00D62996"/>
    <w:rsid w:val="00E00690"/>
    <w:rsid w:val="00E51785"/>
    <w:rsid w:val="00E54760"/>
    <w:rsid w:val="00E7256A"/>
    <w:rsid w:val="00E836C4"/>
    <w:rsid w:val="00EB4CCF"/>
    <w:rsid w:val="00F14F77"/>
    <w:rsid w:val="00FA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EB3"/>
    <w:rPr>
      <w:rFonts w:ascii="Tahoma" w:hAnsi="Tahoma" w:cs="Tahoma"/>
      <w:sz w:val="16"/>
      <w:szCs w:val="16"/>
    </w:rPr>
  </w:style>
  <w:style w:type="character" w:styleId="Hyperlink">
    <w:name w:val="Hyperlink"/>
    <w:basedOn w:val="DefaultParagraphFont"/>
    <w:uiPriority w:val="99"/>
    <w:unhideWhenUsed/>
    <w:rsid w:val="00CB5339"/>
    <w:rPr>
      <w:color w:val="0000FF" w:themeColor="hyperlink"/>
      <w:u w:val="single"/>
    </w:rPr>
  </w:style>
  <w:style w:type="paragraph" w:styleId="ListParagraph">
    <w:name w:val="List Paragraph"/>
    <w:basedOn w:val="Normal"/>
    <w:uiPriority w:val="34"/>
    <w:qFormat/>
    <w:rsid w:val="00B26F7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3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E7256A"/>
  </w:style>
  <w:style w:type="paragraph" w:styleId="Header">
    <w:name w:val="header"/>
    <w:basedOn w:val="Normal"/>
    <w:link w:val="HeaderChar"/>
    <w:uiPriority w:val="99"/>
    <w:unhideWhenUsed/>
    <w:rsid w:val="00E7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56A"/>
  </w:style>
  <w:style w:type="paragraph" w:styleId="Footer">
    <w:name w:val="footer"/>
    <w:basedOn w:val="Normal"/>
    <w:link w:val="FooterChar"/>
    <w:uiPriority w:val="99"/>
    <w:unhideWhenUsed/>
    <w:rsid w:val="00E7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EB3"/>
    <w:rPr>
      <w:rFonts w:ascii="Tahoma" w:hAnsi="Tahoma" w:cs="Tahoma"/>
      <w:sz w:val="16"/>
      <w:szCs w:val="16"/>
    </w:rPr>
  </w:style>
  <w:style w:type="character" w:styleId="Hyperlink">
    <w:name w:val="Hyperlink"/>
    <w:basedOn w:val="DefaultParagraphFont"/>
    <w:uiPriority w:val="99"/>
    <w:unhideWhenUsed/>
    <w:rsid w:val="00CB5339"/>
    <w:rPr>
      <w:color w:val="0000FF" w:themeColor="hyperlink"/>
      <w:u w:val="single"/>
    </w:rPr>
  </w:style>
  <w:style w:type="paragraph" w:styleId="ListParagraph">
    <w:name w:val="List Paragraph"/>
    <w:basedOn w:val="Normal"/>
    <w:uiPriority w:val="34"/>
    <w:qFormat/>
    <w:rsid w:val="00B26F7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3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E7256A"/>
  </w:style>
  <w:style w:type="paragraph" w:styleId="Header">
    <w:name w:val="header"/>
    <w:basedOn w:val="Normal"/>
    <w:link w:val="HeaderChar"/>
    <w:uiPriority w:val="99"/>
    <w:unhideWhenUsed/>
    <w:rsid w:val="00E7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56A"/>
  </w:style>
  <w:style w:type="paragraph" w:styleId="Footer">
    <w:name w:val="footer"/>
    <w:basedOn w:val="Normal"/>
    <w:link w:val="FooterChar"/>
    <w:uiPriority w:val="99"/>
    <w:unhideWhenUsed/>
    <w:rsid w:val="00E7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4085">
      <w:bodyDiv w:val="1"/>
      <w:marLeft w:val="0"/>
      <w:marRight w:val="0"/>
      <w:marTop w:val="0"/>
      <w:marBottom w:val="0"/>
      <w:divBdr>
        <w:top w:val="none" w:sz="0" w:space="0" w:color="auto"/>
        <w:left w:val="none" w:sz="0" w:space="0" w:color="auto"/>
        <w:bottom w:val="none" w:sz="0" w:space="0" w:color="auto"/>
        <w:right w:val="none" w:sz="0" w:space="0" w:color="auto"/>
      </w:divBdr>
      <w:divsChild>
        <w:div w:id="1588315">
          <w:marLeft w:val="576"/>
          <w:marRight w:val="0"/>
          <w:marTop w:val="80"/>
          <w:marBottom w:val="0"/>
          <w:divBdr>
            <w:top w:val="none" w:sz="0" w:space="0" w:color="auto"/>
            <w:left w:val="none" w:sz="0" w:space="0" w:color="auto"/>
            <w:bottom w:val="none" w:sz="0" w:space="0" w:color="auto"/>
            <w:right w:val="none" w:sz="0" w:space="0" w:color="auto"/>
          </w:divBdr>
        </w:div>
        <w:div w:id="930819246">
          <w:marLeft w:val="576"/>
          <w:marRight w:val="0"/>
          <w:marTop w:val="80"/>
          <w:marBottom w:val="0"/>
          <w:divBdr>
            <w:top w:val="none" w:sz="0" w:space="0" w:color="auto"/>
            <w:left w:val="none" w:sz="0" w:space="0" w:color="auto"/>
            <w:bottom w:val="none" w:sz="0" w:space="0" w:color="auto"/>
            <w:right w:val="none" w:sz="0" w:space="0" w:color="auto"/>
          </w:divBdr>
        </w:div>
        <w:div w:id="598410980">
          <w:marLeft w:val="576"/>
          <w:marRight w:val="0"/>
          <w:marTop w:val="80"/>
          <w:marBottom w:val="0"/>
          <w:divBdr>
            <w:top w:val="none" w:sz="0" w:space="0" w:color="auto"/>
            <w:left w:val="none" w:sz="0" w:space="0" w:color="auto"/>
            <w:bottom w:val="none" w:sz="0" w:space="0" w:color="auto"/>
            <w:right w:val="none" w:sz="0" w:space="0" w:color="auto"/>
          </w:divBdr>
        </w:div>
        <w:div w:id="786005981">
          <w:marLeft w:val="576"/>
          <w:marRight w:val="0"/>
          <w:marTop w:val="80"/>
          <w:marBottom w:val="0"/>
          <w:divBdr>
            <w:top w:val="none" w:sz="0" w:space="0" w:color="auto"/>
            <w:left w:val="none" w:sz="0" w:space="0" w:color="auto"/>
            <w:bottom w:val="none" w:sz="0" w:space="0" w:color="auto"/>
            <w:right w:val="none" w:sz="0" w:space="0" w:color="auto"/>
          </w:divBdr>
        </w:div>
        <w:div w:id="792485785">
          <w:marLeft w:val="576"/>
          <w:marRight w:val="0"/>
          <w:marTop w:val="80"/>
          <w:marBottom w:val="0"/>
          <w:divBdr>
            <w:top w:val="none" w:sz="0" w:space="0" w:color="auto"/>
            <w:left w:val="none" w:sz="0" w:space="0" w:color="auto"/>
            <w:bottom w:val="none" w:sz="0" w:space="0" w:color="auto"/>
            <w:right w:val="none" w:sz="0" w:space="0" w:color="auto"/>
          </w:divBdr>
        </w:div>
      </w:divsChild>
    </w:div>
    <w:div w:id="272249485">
      <w:bodyDiv w:val="1"/>
      <w:marLeft w:val="0"/>
      <w:marRight w:val="0"/>
      <w:marTop w:val="0"/>
      <w:marBottom w:val="0"/>
      <w:divBdr>
        <w:top w:val="none" w:sz="0" w:space="0" w:color="auto"/>
        <w:left w:val="none" w:sz="0" w:space="0" w:color="auto"/>
        <w:bottom w:val="none" w:sz="0" w:space="0" w:color="auto"/>
        <w:right w:val="none" w:sz="0" w:space="0" w:color="auto"/>
      </w:divBdr>
      <w:divsChild>
        <w:div w:id="1933933143">
          <w:marLeft w:val="720"/>
          <w:marRight w:val="0"/>
          <w:marTop w:val="0"/>
          <w:marBottom w:val="0"/>
          <w:divBdr>
            <w:top w:val="none" w:sz="0" w:space="0" w:color="auto"/>
            <w:left w:val="none" w:sz="0" w:space="0" w:color="auto"/>
            <w:bottom w:val="none" w:sz="0" w:space="0" w:color="auto"/>
            <w:right w:val="none" w:sz="0" w:space="0" w:color="auto"/>
          </w:divBdr>
        </w:div>
        <w:div w:id="428083237">
          <w:marLeft w:val="720"/>
          <w:marRight w:val="0"/>
          <w:marTop w:val="0"/>
          <w:marBottom w:val="0"/>
          <w:divBdr>
            <w:top w:val="none" w:sz="0" w:space="0" w:color="auto"/>
            <w:left w:val="none" w:sz="0" w:space="0" w:color="auto"/>
            <w:bottom w:val="none" w:sz="0" w:space="0" w:color="auto"/>
            <w:right w:val="none" w:sz="0" w:space="0" w:color="auto"/>
          </w:divBdr>
        </w:div>
        <w:div w:id="1377504250">
          <w:marLeft w:val="720"/>
          <w:marRight w:val="0"/>
          <w:marTop w:val="0"/>
          <w:marBottom w:val="0"/>
          <w:divBdr>
            <w:top w:val="none" w:sz="0" w:space="0" w:color="auto"/>
            <w:left w:val="none" w:sz="0" w:space="0" w:color="auto"/>
            <w:bottom w:val="none" w:sz="0" w:space="0" w:color="auto"/>
            <w:right w:val="none" w:sz="0" w:space="0" w:color="auto"/>
          </w:divBdr>
        </w:div>
        <w:div w:id="1964730049">
          <w:marLeft w:val="720"/>
          <w:marRight w:val="0"/>
          <w:marTop w:val="0"/>
          <w:marBottom w:val="0"/>
          <w:divBdr>
            <w:top w:val="none" w:sz="0" w:space="0" w:color="auto"/>
            <w:left w:val="none" w:sz="0" w:space="0" w:color="auto"/>
            <w:bottom w:val="none" w:sz="0" w:space="0" w:color="auto"/>
            <w:right w:val="none" w:sz="0" w:space="0" w:color="auto"/>
          </w:divBdr>
        </w:div>
      </w:divsChild>
    </w:div>
    <w:div w:id="576406194">
      <w:bodyDiv w:val="1"/>
      <w:marLeft w:val="0"/>
      <w:marRight w:val="0"/>
      <w:marTop w:val="0"/>
      <w:marBottom w:val="0"/>
      <w:divBdr>
        <w:top w:val="none" w:sz="0" w:space="0" w:color="auto"/>
        <w:left w:val="none" w:sz="0" w:space="0" w:color="auto"/>
        <w:bottom w:val="none" w:sz="0" w:space="0" w:color="auto"/>
        <w:right w:val="none" w:sz="0" w:space="0" w:color="auto"/>
      </w:divBdr>
    </w:div>
    <w:div w:id="773207051">
      <w:bodyDiv w:val="1"/>
      <w:marLeft w:val="0"/>
      <w:marRight w:val="0"/>
      <w:marTop w:val="0"/>
      <w:marBottom w:val="0"/>
      <w:divBdr>
        <w:top w:val="none" w:sz="0" w:space="0" w:color="auto"/>
        <w:left w:val="none" w:sz="0" w:space="0" w:color="auto"/>
        <w:bottom w:val="none" w:sz="0" w:space="0" w:color="auto"/>
        <w:right w:val="none" w:sz="0" w:space="0" w:color="auto"/>
      </w:divBdr>
    </w:div>
    <w:div w:id="1350720105">
      <w:bodyDiv w:val="1"/>
      <w:marLeft w:val="0"/>
      <w:marRight w:val="0"/>
      <w:marTop w:val="0"/>
      <w:marBottom w:val="0"/>
      <w:divBdr>
        <w:top w:val="none" w:sz="0" w:space="0" w:color="auto"/>
        <w:left w:val="none" w:sz="0" w:space="0" w:color="auto"/>
        <w:bottom w:val="none" w:sz="0" w:space="0" w:color="auto"/>
        <w:right w:val="none" w:sz="0" w:space="0" w:color="auto"/>
      </w:divBdr>
      <w:divsChild>
        <w:div w:id="2098790882">
          <w:marLeft w:val="274"/>
          <w:marRight w:val="0"/>
          <w:marTop w:val="0"/>
          <w:marBottom w:val="0"/>
          <w:divBdr>
            <w:top w:val="none" w:sz="0" w:space="0" w:color="auto"/>
            <w:left w:val="none" w:sz="0" w:space="0" w:color="auto"/>
            <w:bottom w:val="none" w:sz="0" w:space="0" w:color="auto"/>
            <w:right w:val="none" w:sz="0" w:space="0" w:color="auto"/>
          </w:divBdr>
        </w:div>
        <w:div w:id="824931048">
          <w:marLeft w:val="274"/>
          <w:marRight w:val="0"/>
          <w:marTop w:val="0"/>
          <w:marBottom w:val="0"/>
          <w:divBdr>
            <w:top w:val="none" w:sz="0" w:space="0" w:color="auto"/>
            <w:left w:val="none" w:sz="0" w:space="0" w:color="auto"/>
            <w:bottom w:val="none" w:sz="0" w:space="0" w:color="auto"/>
            <w:right w:val="none" w:sz="0" w:space="0" w:color="auto"/>
          </w:divBdr>
        </w:div>
        <w:div w:id="90929826">
          <w:marLeft w:val="994"/>
          <w:marRight w:val="0"/>
          <w:marTop w:val="0"/>
          <w:marBottom w:val="0"/>
          <w:divBdr>
            <w:top w:val="none" w:sz="0" w:space="0" w:color="auto"/>
            <w:left w:val="none" w:sz="0" w:space="0" w:color="auto"/>
            <w:bottom w:val="none" w:sz="0" w:space="0" w:color="auto"/>
            <w:right w:val="none" w:sz="0" w:space="0" w:color="auto"/>
          </w:divBdr>
        </w:div>
        <w:div w:id="158036962">
          <w:marLeft w:val="994"/>
          <w:marRight w:val="0"/>
          <w:marTop w:val="0"/>
          <w:marBottom w:val="0"/>
          <w:divBdr>
            <w:top w:val="none" w:sz="0" w:space="0" w:color="auto"/>
            <w:left w:val="none" w:sz="0" w:space="0" w:color="auto"/>
            <w:bottom w:val="none" w:sz="0" w:space="0" w:color="auto"/>
            <w:right w:val="none" w:sz="0" w:space="0" w:color="auto"/>
          </w:divBdr>
        </w:div>
      </w:divsChild>
    </w:div>
    <w:div w:id="1449737040">
      <w:bodyDiv w:val="1"/>
      <w:marLeft w:val="0"/>
      <w:marRight w:val="0"/>
      <w:marTop w:val="0"/>
      <w:marBottom w:val="0"/>
      <w:divBdr>
        <w:top w:val="none" w:sz="0" w:space="0" w:color="auto"/>
        <w:left w:val="none" w:sz="0" w:space="0" w:color="auto"/>
        <w:bottom w:val="none" w:sz="0" w:space="0" w:color="auto"/>
        <w:right w:val="none" w:sz="0" w:space="0" w:color="auto"/>
      </w:divBdr>
      <w:divsChild>
        <w:div w:id="1435781590">
          <w:marLeft w:val="576"/>
          <w:marRight w:val="0"/>
          <w:marTop w:val="80"/>
          <w:marBottom w:val="0"/>
          <w:divBdr>
            <w:top w:val="none" w:sz="0" w:space="0" w:color="auto"/>
            <w:left w:val="none" w:sz="0" w:space="0" w:color="auto"/>
            <w:bottom w:val="none" w:sz="0" w:space="0" w:color="auto"/>
            <w:right w:val="none" w:sz="0" w:space="0" w:color="auto"/>
          </w:divBdr>
        </w:div>
        <w:div w:id="599218770">
          <w:marLeft w:val="576"/>
          <w:marRight w:val="0"/>
          <w:marTop w:val="80"/>
          <w:marBottom w:val="0"/>
          <w:divBdr>
            <w:top w:val="none" w:sz="0" w:space="0" w:color="auto"/>
            <w:left w:val="none" w:sz="0" w:space="0" w:color="auto"/>
            <w:bottom w:val="none" w:sz="0" w:space="0" w:color="auto"/>
            <w:right w:val="none" w:sz="0" w:space="0" w:color="auto"/>
          </w:divBdr>
        </w:div>
        <w:div w:id="2088108649">
          <w:marLeft w:val="576"/>
          <w:marRight w:val="0"/>
          <w:marTop w:val="80"/>
          <w:marBottom w:val="0"/>
          <w:divBdr>
            <w:top w:val="none" w:sz="0" w:space="0" w:color="auto"/>
            <w:left w:val="none" w:sz="0" w:space="0" w:color="auto"/>
            <w:bottom w:val="none" w:sz="0" w:space="0" w:color="auto"/>
            <w:right w:val="none" w:sz="0" w:space="0" w:color="auto"/>
          </w:divBdr>
        </w:div>
        <w:div w:id="521091370">
          <w:marLeft w:val="576"/>
          <w:marRight w:val="0"/>
          <w:marTop w:val="80"/>
          <w:marBottom w:val="0"/>
          <w:divBdr>
            <w:top w:val="none" w:sz="0" w:space="0" w:color="auto"/>
            <w:left w:val="none" w:sz="0" w:space="0" w:color="auto"/>
            <w:bottom w:val="none" w:sz="0" w:space="0" w:color="auto"/>
            <w:right w:val="none" w:sz="0" w:space="0" w:color="auto"/>
          </w:divBdr>
        </w:div>
        <w:div w:id="1555040252">
          <w:marLeft w:val="576"/>
          <w:marRight w:val="0"/>
          <w:marTop w:val="80"/>
          <w:marBottom w:val="0"/>
          <w:divBdr>
            <w:top w:val="none" w:sz="0" w:space="0" w:color="auto"/>
            <w:left w:val="none" w:sz="0" w:space="0" w:color="auto"/>
            <w:bottom w:val="none" w:sz="0" w:space="0" w:color="auto"/>
            <w:right w:val="none" w:sz="0" w:space="0" w:color="auto"/>
          </w:divBdr>
        </w:div>
      </w:divsChild>
    </w:div>
    <w:div w:id="1486244032">
      <w:bodyDiv w:val="1"/>
      <w:marLeft w:val="0"/>
      <w:marRight w:val="0"/>
      <w:marTop w:val="0"/>
      <w:marBottom w:val="0"/>
      <w:divBdr>
        <w:top w:val="none" w:sz="0" w:space="0" w:color="auto"/>
        <w:left w:val="none" w:sz="0" w:space="0" w:color="auto"/>
        <w:bottom w:val="none" w:sz="0" w:space="0" w:color="auto"/>
        <w:right w:val="none" w:sz="0" w:space="0" w:color="auto"/>
      </w:divBdr>
      <w:divsChild>
        <w:div w:id="260258368">
          <w:marLeft w:val="576"/>
          <w:marRight w:val="0"/>
          <w:marTop w:val="80"/>
          <w:marBottom w:val="0"/>
          <w:divBdr>
            <w:top w:val="none" w:sz="0" w:space="0" w:color="auto"/>
            <w:left w:val="none" w:sz="0" w:space="0" w:color="auto"/>
            <w:bottom w:val="none" w:sz="0" w:space="0" w:color="auto"/>
            <w:right w:val="none" w:sz="0" w:space="0" w:color="auto"/>
          </w:divBdr>
        </w:div>
        <w:div w:id="1613977284">
          <w:marLeft w:val="576"/>
          <w:marRight w:val="0"/>
          <w:marTop w:val="80"/>
          <w:marBottom w:val="0"/>
          <w:divBdr>
            <w:top w:val="none" w:sz="0" w:space="0" w:color="auto"/>
            <w:left w:val="none" w:sz="0" w:space="0" w:color="auto"/>
            <w:bottom w:val="none" w:sz="0" w:space="0" w:color="auto"/>
            <w:right w:val="none" w:sz="0" w:space="0" w:color="auto"/>
          </w:divBdr>
        </w:div>
        <w:div w:id="243027433">
          <w:marLeft w:val="576"/>
          <w:marRight w:val="0"/>
          <w:marTop w:val="80"/>
          <w:marBottom w:val="0"/>
          <w:divBdr>
            <w:top w:val="none" w:sz="0" w:space="0" w:color="auto"/>
            <w:left w:val="none" w:sz="0" w:space="0" w:color="auto"/>
            <w:bottom w:val="none" w:sz="0" w:space="0" w:color="auto"/>
            <w:right w:val="none" w:sz="0" w:space="0" w:color="auto"/>
          </w:divBdr>
        </w:div>
        <w:div w:id="2122606197">
          <w:marLeft w:val="576"/>
          <w:marRight w:val="0"/>
          <w:marTop w:val="80"/>
          <w:marBottom w:val="0"/>
          <w:divBdr>
            <w:top w:val="none" w:sz="0" w:space="0" w:color="auto"/>
            <w:left w:val="none" w:sz="0" w:space="0" w:color="auto"/>
            <w:bottom w:val="none" w:sz="0" w:space="0" w:color="auto"/>
            <w:right w:val="none" w:sz="0" w:space="0" w:color="auto"/>
          </w:divBdr>
        </w:div>
        <w:div w:id="346909773">
          <w:marLeft w:val="576"/>
          <w:marRight w:val="0"/>
          <w:marTop w:val="80"/>
          <w:marBottom w:val="0"/>
          <w:divBdr>
            <w:top w:val="none" w:sz="0" w:space="0" w:color="auto"/>
            <w:left w:val="none" w:sz="0" w:space="0" w:color="auto"/>
            <w:bottom w:val="none" w:sz="0" w:space="0" w:color="auto"/>
            <w:right w:val="none" w:sz="0" w:space="0" w:color="auto"/>
          </w:divBdr>
        </w:div>
        <w:div w:id="1946113078">
          <w:marLeft w:val="576"/>
          <w:marRight w:val="0"/>
          <w:marTop w:val="80"/>
          <w:marBottom w:val="0"/>
          <w:divBdr>
            <w:top w:val="none" w:sz="0" w:space="0" w:color="auto"/>
            <w:left w:val="none" w:sz="0" w:space="0" w:color="auto"/>
            <w:bottom w:val="none" w:sz="0" w:space="0" w:color="auto"/>
            <w:right w:val="none" w:sz="0" w:space="0" w:color="auto"/>
          </w:divBdr>
        </w:div>
        <w:div w:id="664287835">
          <w:marLeft w:val="576"/>
          <w:marRight w:val="0"/>
          <w:marTop w:val="80"/>
          <w:marBottom w:val="0"/>
          <w:divBdr>
            <w:top w:val="none" w:sz="0" w:space="0" w:color="auto"/>
            <w:left w:val="none" w:sz="0" w:space="0" w:color="auto"/>
            <w:bottom w:val="none" w:sz="0" w:space="0" w:color="auto"/>
            <w:right w:val="none" w:sz="0" w:space="0" w:color="auto"/>
          </w:divBdr>
        </w:div>
      </w:divsChild>
    </w:div>
    <w:div w:id="1602645476">
      <w:bodyDiv w:val="1"/>
      <w:marLeft w:val="0"/>
      <w:marRight w:val="0"/>
      <w:marTop w:val="0"/>
      <w:marBottom w:val="0"/>
      <w:divBdr>
        <w:top w:val="none" w:sz="0" w:space="0" w:color="auto"/>
        <w:left w:val="none" w:sz="0" w:space="0" w:color="auto"/>
        <w:bottom w:val="none" w:sz="0" w:space="0" w:color="auto"/>
        <w:right w:val="none" w:sz="0" w:space="0" w:color="auto"/>
      </w:divBdr>
      <w:divsChild>
        <w:div w:id="19209098">
          <w:marLeft w:val="576"/>
          <w:marRight w:val="0"/>
          <w:marTop w:val="80"/>
          <w:marBottom w:val="0"/>
          <w:divBdr>
            <w:top w:val="none" w:sz="0" w:space="0" w:color="auto"/>
            <w:left w:val="none" w:sz="0" w:space="0" w:color="auto"/>
            <w:bottom w:val="none" w:sz="0" w:space="0" w:color="auto"/>
            <w:right w:val="none" w:sz="0" w:space="0" w:color="auto"/>
          </w:divBdr>
        </w:div>
        <w:div w:id="1784106776">
          <w:marLeft w:val="576"/>
          <w:marRight w:val="0"/>
          <w:marTop w:val="80"/>
          <w:marBottom w:val="0"/>
          <w:divBdr>
            <w:top w:val="none" w:sz="0" w:space="0" w:color="auto"/>
            <w:left w:val="none" w:sz="0" w:space="0" w:color="auto"/>
            <w:bottom w:val="none" w:sz="0" w:space="0" w:color="auto"/>
            <w:right w:val="none" w:sz="0" w:space="0" w:color="auto"/>
          </w:divBdr>
        </w:div>
        <w:div w:id="1639456046">
          <w:marLeft w:val="576"/>
          <w:marRight w:val="0"/>
          <w:marTop w:val="80"/>
          <w:marBottom w:val="0"/>
          <w:divBdr>
            <w:top w:val="none" w:sz="0" w:space="0" w:color="auto"/>
            <w:left w:val="none" w:sz="0" w:space="0" w:color="auto"/>
            <w:bottom w:val="none" w:sz="0" w:space="0" w:color="auto"/>
            <w:right w:val="none" w:sz="0" w:space="0" w:color="auto"/>
          </w:divBdr>
        </w:div>
        <w:div w:id="1070344768">
          <w:marLeft w:val="576"/>
          <w:marRight w:val="0"/>
          <w:marTop w:val="80"/>
          <w:marBottom w:val="0"/>
          <w:divBdr>
            <w:top w:val="none" w:sz="0" w:space="0" w:color="auto"/>
            <w:left w:val="none" w:sz="0" w:space="0" w:color="auto"/>
            <w:bottom w:val="none" w:sz="0" w:space="0" w:color="auto"/>
            <w:right w:val="none" w:sz="0" w:space="0" w:color="auto"/>
          </w:divBdr>
        </w:div>
        <w:div w:id="398746533">
          <w:marLeft w:val="576"/>
          <w:marRight w:val="0"/>
          <w:marTop w:val="80"/>
          <w:marBottom w:val="0"/>
          <w:divBdr>
            <w:top w:val="none" w:sz="0" w:space="0" w:color="auto"/>
            <w:left w:val="none" w:sz="0" w:space="0" w:color="auto"/>
            <w:bottom w:val="none" w:sz="0" w:space="0" w:color="auto"/>
            <w:right w:val="none" w:sz="0" w:space="0" w:color="auto"/>
          </w:divBdr>
        </w:div>
      </w:divsChild>
    </w:div>
    <w:div w:id="1816527898">
      <w:bodyDiv w:val="1"/>
      <w:marLeft w:val="0"/>
      <w:marRight w:val="0"/>
      <w:marTop w:val="0"/>
      <w:marBottom w:val="0"/>
      <w:divBdr>
        <w:top w:val="none" w:sz="0" w:space="0" w:color="auto"/>
        <w:left w:val="none" w:sz="0" w:space="0" w:color="auto"/>
        <w:bottom w:val="none" w:sz="0" w:space="0" w:color="auto"/>
        <w:right w:val="none" w:sz="0" w:space="0" w:color="auto"/>
      </w:divBdr>
      <w:divsChild>
        <w:div w:id="79374419">
          <w:marLeft w:val="576"/>
          <w:marRight w:val="0"/>
          <w:marTop w:val="80"/>
          <w:marBottom w:val="0"/>
          <w:divBdr>
            <w:top w:val="none" w:sz="0" w:space="0" w:color="auto"/>
            <w:left w:val="none" w:sz="0" w:space="0" w:color="auto"/>
            <w:bottom w:val="none" w:sz="0" w:space="0" w:color="auto"/>
            <w:right w:val="none" w:sz="0" w:space="0" w:color="auto"/>
          </w:divBdr>
        </w:div>
        <w:div w:id="404646896">
          <w:marLeft w:val="576"/>
          <w:marRight w:val="0"/>
          <w:marTop w:val="80"/>
          <w:marBottom w:val="0"/>
          <w:divBdr>
            <w:top w:val="none" w:sz="0" w:space="0" w:color="auto"/>
            <w:left w:val="none" w:sz="0" w:space="0" w:color="auto"/>
            <w:bottom w:val="none" w:sz="0" w:space="0" w:color="auto"/>
            <w:right w:val="none" w:sz="0" w:space="0" w:color="auto"/>
          </w:divBdr>
        </w:div>
        <w:div w:id="1569266557">
          <w:marLeft w:val="576"/>
          <w:marRight w:val="0"/>
          <w:marTop w:val="80"/>
          <w:marBottom w:val="0"/>
          <w:divBdr>
            <w:top w:val="none" w:sz="0" w:space="0" w:color="auto"/>
            <w:left w:val="none" w:sz="0" w:space="0" w:color="auto"/>
            <w:bottom w:val="none" w:sz="0" w:space="0" w:color="auto"/>
            <w:right w:val="none" w:sz="0" w:space="0" w:color="auto"/>
          </w:divBdr>
        </w:div>
        <w:div w:id="1474524431">
          <w:marLeft w:val="576"/>
          <w:marRight w:val="0"/>
          <w:marTop w:val="80"/>
          <w:marBottom w:val="0"/>
          <w:divBdr>
            <w:top w:val="none" w:sz="0" w:space="0" w:color="auto"/>
            <w:left w:val="none" w:sz="0" w:space="0" w:color="auto"/>
            <w:bottom w:val="none" w:sz="0" w:space="0" w:color="auto"/>
            <w:right w:val="none" w:sz="0" w:space="0" w:color="auto"/>
          </w:divBdr>
        </w:div>
      </w:divsChild>
    </w:div>
    <w:div w:id="2011977973">
      <w:bodyDiv w:val="1"/>
      <w:marLeft w:val="0"/>
      <w:marRight w:val="0"/>
      <w:marTop w:val="0"/>
      <w:marBottom w:val="0"/>
      <w:divBdr>
        <w:top w:val="none" w:sz="0" w:space="0" w:color="auto"/>
        <w:left w:val="none" w:sz="0" w:space="0" w:color="auto"/>
        <w:bottom w:val="none" w:sz="0" w:space="0" w:color="auto"/>
        <w:right w:val="none" w:sz="0" w:space="0" w:color="auto"/>
      </w:divBdr>
    </w:div>
    <w:div w:id="2038969853">
      <w:bodyDiv w:val="1"/>
      <w:marLeft w:val="0"/>
      <w:marRight w:val="0"/>
      <w:marTop w:val="0"/>
      <w:marBottom w:val="0"/>
      <w:divBdr>
        <w:top w:val="none" w:sz="0" w:space="0" w:color="auto"/>
        <w:left w:val="none" w:sz="0" w:space="0" w:color="auto"/>
        <w:bottom w:val="none" w:sz="0" w:space="0" w:color="auto"/>
        <w:right w:val="none" w:sz="0" w:space="0" w:color="auto"/>
      </w:divBdr>
    </w:div>
    <w:div w:id="209362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4908/ss.v17i3/4.864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tatescoop.com/after-endless-glitches-montgomery-county-shelves-police-body-camer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dn.ymaws.com/fbileeda.site-ym.com/resource/resmgr/docs/Insighter/2016/FBI-L_Insighter_January201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clu.org/blog/privacy-technology/surveillance-technologies/california-just-blocked-police-body-cam-use-face" TargetMode="External"/><Relationship Id="rId4" Type="http://schemas.openxmlformats.org/officeDocument/2006/relationships/settings" Target="settings.xml"/><Relationship Id="rId9" Type="http://schemas.openxmlformats.org/officeDocument/2006/relationships/hyperlink" Target="https://bja.ojp.gov/program/body-worn-cameras-bwcs/overview" TargetMode="External"/><Relationship Id="rId14" Type="http://schemas.openxmlformats.org/officeDocument/2006/relationships/hyperlink" Target="https://doi.org/10.24908/ss.v17i3/4.655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Current annaul cost per camera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Mesa</c:v>
                </c:pt>
                <c:pt idx="1">
                  <c:v>Phoenix</c:v>
                </c:pt>
                <c:pt idx="2">
                  <c:v>Dallas</c:v>
                </c:pt>
              </c:strCache>
            </c:strRef>
          </c:cat>
          <c:val>
            <c:numRef>
              <c:f>Sheet1!$B$2:$B$4</c:f>
              <c:numCache>
                <c:formatCode>#,##0</c:formatCode>
                <c:ptCount val="3"/>
                <c:pt idx="0">
                  <c:v>2198</c:v>
                </c:pt>
                <c:pt idx="1">
                  <c:v>2883</c:v>
                </c:pt>
                <c:pt idx="2">
                  <c:v>1125</c:v>
                </c:pt>
              </c:numCache>
            </c:numRef>
          </c:val>
          <c:extLst xmlns:c16r2="http://schemas.microsoft.com/office/drawing/2015/06/chart">
            <c:ext xmlns:c16="http://schemas.microsoft.com/office/drawing/2014/chart" uri="{C3380CC4-5D6E-409C-BE32-E72D297353CC}">
              <c16:uniqueId val="{00000000-FF2B-427A-B8F3-80BF96867333}"/>
            </c:ext>
          </c:extLst>
        </c:ser>
        <c:ser>
          <c:idx val="1"/>
          <c:order val="1"/>
          <c:tx>
            <c:strRef>
              <c:f>Sheet1!$C$1</c:f>
              <c:strCache>
                <c:ptCount val="1"/>
                <c:pt idx="0">
                  <c:v>Current Deployment (%)</c:v>
                </c:pt>
              </c:strCache>
            </c:strRef>
          </c:tx>
          <c:invertIfNegative val="0"/>
          <c:cat>
            <c:strRef>
              <c:f>Sheet1!$A$2:$A$4</c:f>
              <c:strCache>
                <c:ptCount val="3"/>
                <c:pt idx="0">
                  <c:v>Mesa</c:v>
                </c:pt>
                <c:pt idx="1">
                  <c:v>Phoenix</c:v>
                </c:pt>
                <c:pt idx="2">
                  <c:v>Dallas</c:v>
                </c:pt>
              </c:strCache>
            </c:strRef>
          </c:cat>
          <c:val>
            <c:numRef>
              <c:f>Sheet1!$C$2:$C$4</c:f>
              <c:numCache>
                <c:formatCode>General</c:formatCode>
                <c:ptCount val="3"/>
                <c:pt idx="0">
                  <c:v>44</c:v>
                </c:pt>
                <c:pt idx="1">
                  <c:v>10</c:v>
                </c:pt>
                <c:pt idx="2">
                  <c:v>30</c:v>
                </c:pt>
              </c:numCache>
            </c:numRef>
          </c:val>
          <c:extLst xmlns:c16r2="http://schemas.microsoft.com/office/drawing/2015/06/chart">
            <c:ext xmlns:c16="http://schemas.microsoft.com/office/drawing/2014/chart" uri="{C3380CC4-5D6E-409C-BE32-E72D297353CC}">
              <c16:uniqueId val="{00000001-FF2B-427A-B8F3-80BF96867333}"/>
            </c:ext>
          </c:extLst>
        </c:ser>
        <c:ser>
          <c:idx val="2"/>
          <c:order val="2"/>
          <c:tx>
            <c:strRef>
              <c:f>Sheet1!$D$1</c:f>
              <c:strCache>
                <c:ptCount val="1"/>
                <c:pt idx="0">
                  <c:v>Current annual total cost of BWC program($)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Mesa</c:v>
                </c:pt>
                <c:pt idx="1">
                  <c:v>Phoenix</c:v>
                </c:pt>
                <c:pt idx="2">
                  <c:v>Dallas</c:v>
                </c:pt>
              </c:strCache>
            </c:strRef>
          </c:cat>
          <c:val>
            <c:numRef>
              <c:f>Sheet1!$D$2:$D$4</c:f>
              <c:numCache>
                <c:formatCode>#,##0</c:formatCode>
                <c:ptCount val="3"/>
                <c:pt idx="0">
                  <c:v>637327</c:v>
                </c:pt>
                <c:pt idx="1">
                  <c:v>1306349</c:v>
                </c:pt>
                <c:pt idx="2">
                  <c:v>527759</c:v>
                </c:pt>
              </c:numCache>
            </c:numRef>
          </c:val>
          <c:extLst xmlns:c16r2="http://schemas.microsoft.com/office/drawing/2015/06/chart">
            <c:ext xmlns:c16="http://schemas.microsoft.com/office/drawing/2014/chart" uri="{C3380CC4-5D6E-409C-BE32-E72D297353CC}">
              <c16:uniqueId val="{00000002-FF2B-427A-B8F3-80BF96867333}"/>
            </c:ext>
          </c:extLst>
        </c:ser>
        <c:dLbls>
          <c:showLegendKey val="0"/>
          <c:showVal val="0"/>
          <c:showCatName val="0"/>
          <c:showSerName val="0"/>
          <c:showPercent val="0"/>
          <c:showBubbleSize val="0"/>
        </c:dLbls>
        <c:gapWidth val="150"/>
        <c:axId val="342326784"/>
        <c:axId val="306240256"/>
      </c:barChart>
      <c:catAx>
        <c:axId val="342326784"/>
        <c:scaling>
          <c:orientation val="minMax"/>
        </c:scaling>
        <c:delete val="0"/>
        <c:axPos val="b"/>
        <c:numFmt formatCode="General" sourceLinked="0"/>
        <c:majorTickMark val="out"/>
        <c:minorTickMark val="none"/>
        <c:tickLblPos val="nextTo"/>
        <c:crossAx val="306240256"/>
        <c:crosses val="autoZero"/>
        <c:auto val="1"/>
        <c:lblAlgn val="ctr"/>
        <c:lblOffset val="100"/>
        <c:noMultiLvlLbl val="0"/>
      </c:catAx>
      <c:valAx>
        <c:axId val="306240256"/>
        <c:scaling>
          <c:orientation val="minMax"/>
        </c:scaling>
        <c:delete val="0"/>
        <c:axPos val="l"/>
        <c:majorGridlines/>
        <c:numFmt formatCode="#,##0" sourceLinked="1"/>
        <c:majorTickMark val="out"/>
        <c:minorTickMark val="none"/>
        <c:tickLblPos val="nextTo"/>
        <c:crossAx val="342326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5021</Words>
  <Characters>28621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2021-05-08T08:44:00Z</dcterms:created>
  <dcterms:modified xsi:type="dcterms:W3CDTF">2021-05-08T08:44:00Z</dcterms:modified>
</cp:coreProperties>
</file>